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D987" w14:textId="68310646" w:rsidR="002E1483" w:rsidRDefault="002E1483" w:rsidP="004175D9">
      <w:pPr>
        <w:jc w:val="both"/>
      </w:pPr>
    </w:p>
    <w:p w14:paraId="605056D4" w14:textId="4CF5BC0F" w:rsidR="3B747628" w:rsidRDefault="3B747628" w:rsidP="003B4389">
      <w:pPr>
        <w:jc w:val="both"/>
      </w:pPr>
    </w:p>
    <w:p w14:paraId="5A074881" w14:textId="64755AF9" w:rsidR="00681CDF" w:rsidRDefault="00681CDF" w:rsidP="004175D9">
      <w:pPr>
        <w:jc w:val="both"/>
      </w:pPr>
    </w:p>
    <w:p w14:paraId="052FE1B2" w14:textId="18F217F9" w:rsidR="00681CDF" w:rsidRDefault="00681CDF" w:rsidP="004175D9">
      <w:pPr>
        <w:jc w:val="both"/>
      </w:pPr>
    </w:p>
    <w:p w14:paraId="1A8E68AD" w14:textId="645277AF" w:rsidR="00681CDF" w:rsidRDefault="00681CDF" w:rsidP="004175D9">
      <w:pPr>
        <w:jc w:val="both"/>
      </w:pPr>
    </w:p>
    <w:p w14:paraId="4AC64F50" w14:textId="77777777" w:rsidR="00681CDF" w:rsidRDefault="00681CDF" w:rsidP="004175D9">
      <w:pPr>
        <w:jc w:val="both"/>
      </w:pPr>
    </w:p>
    <w:p w14:paraId="3BCAA75D" w14:textId="68835EE5" w:rsidR="002E1483" w:rsidRDefault="002E1483" w:rsidP="004175D9">
      <w:pPr>
        <w:jc w:val="both"/>
      </w:pPr>
    </w:p>
    <w:p w14:paraId="12DC554E" w14:textId="77777777" w:rsidR="002E1483" w:rsidRDefault="002E1483" w:rsidP="004175D9">
      <w:pPr>
        <w:jc w:val="both"/>
      </w:pPr>
      <w:bookmarkStart w:id="0" w:name="_GoBack"/>
      <w:bookmarkEnd w:id="0"/>
    </w:p>
    <w:p w14:paraId="1C1A0806" w14:textId="6D4F9B86" w:rsidR="00E6688C" w:rsidRPr="00776FE2" w:rsidRDefault="00403156" w:rsidP="00776FE2">
      <w:pPr>
        <w:pStyle w:val="Contents"/>
        <w:ind w:right="-1"/>
        <w:rPr>
          <w:rFonts w:cs="Arial"/>
          <w:sz w:val="38"/>
        </w:rPr>
      </w:pPr>
      <w:r w:rsidRPr="00776FE2">
        <w:rPr>
          <w:rFonts w:cs="Arial"/>
          <w:sz w:val="38"/>
        </w:rPr>
        <w:t>S</w:t>
      </w:r>
      <w:r w:rsidR="00441584" w:rsidRPr="00776FE2">
        <w:rPr>
          <w:rFonts w:cs="Arial"/>
          <w:sz w:val="38"/>
        </w:rPr>
        <w:t xml:space="preserve">ubmission to the Victorian </w:t>
      </w:r>
      <w:r w:rsidR="00053254" w:rsidRPr="00776FE2">
        <w:rPr>
          <w:rFonts w:cs="Arial"/>
          <w:sz w:val="38"/>
        </w:rPr>
        <w:t xml:space="preserve">Law Reform Commission </w:t>
      </w:r>
      <w:r w:rsidR="00441584" w:rsidRPr="00776FE2">
        <w:rPr>
          <w:rFonts w:cs="Arial"/>
          <w:sz w:val="38"/>
        </w:rPr>
        <w:t xml:space="preserve">on </w:t>
      </w:r>
      <w:r w:rsidR="002E1483" w:rsidRPr="00776FE2">
        <w:rPr>
          <w:rFonts w:cs="Arial"/>
          <w:sz w:val="38"/>
        </w:rPr>
        <w:t>the</w:t>
      </w:r>
      <w:r w:rsidR="00776FE2" w:rsidRPr="00776FE2">
        <w:rPr>
          <w:rFonts w:cs="Arial"/>
          <w:sz w:val="38"/>
        </w:rPr>
        <w:t xml:space="preserve"> </w:t>
      </w:r>
      <w:r w:rsidR="00053254" w:rsidRPr="00776FE2">
        <w:rPr>
          <w:rFonts w:cs="Arial"/>
          <w:sz w:val="38"/>
        </w:rPr>
        <w:t>Review of Committals</w:t>
      </w:r>
      <w:r w:rsidR="0028545C" w:rsidRPr="00776FE2">
        <w:rPr>
          <w:rFonts w:cs="Arial"/>
          <w:sz w:val="38"/>
        </w:rPr>
        <w:t xml:space="preserve"> </w:t>
      </w:r>
    </w:p>
    <w:p w14:paraId="2DB28195" w14:textId="6A45C928" w:rsidR="00E6688C" w:rsidRPr="002E1483" w:rsidRDefault="00053254" w:rsidP="004175D9">
      <w:pPr>
        <w:pStyle w:val="VLAdate"/>
        <w:jc w:val="both"/>
        <w:rPr>
          <w:rFonts w:cs="Arial"/>
          <w:b/>
        </w:rPr>
      </w:pPr>
      <w:r w:rsidRPr="002E1483">
        <w:rPr>
          <w:rFonts w:cs="Arial"/>
          <w:b/>
        </w:rPr>
        <w:t xml:space="preserve">August </w:t>
      </w:r>
      <w:r w:rsidR="00441584" w:rsidRPr="002E1483">
        <w:rPr>
          <w:rFonts w:cs="Arial"/>
          <w:b/>
        </w:rPr>
        <w:t>2019</w:t>
      </w:r>
    </w:p>
    <w:p w14:paraId="3421FBD5" w14:textId="77777777" w:rsidR="00CC0C03" w:rsidRPr="00E44D59" w:rsidRDefault="00CC0C03" w:rsidP="004175D9">
      <w:pPr>
        <w:jc w:val="both"/>
        <w:rPr>
          <w:rFonts w:cs="Arial"/>
        </w:rPr>
      </w:pPr>
    </w:p>
    <w:p w14:paraId="16C6F7E4" w14:textId="77777777" w:rsidR="00853BDA" w:rsidRPr="00E44D59" w:rsidRDefault="00853BDA" w:rsidP="004175D9">
      <w:pPr>
        <w:jc w:val="both"/>
        <w:rPr>
          <w:rFonts w:cs="Arial"/>
        </w:rPr>
        <w:sectPr w:rsidR="00853BDA" w:rsidRPr="00E44D59" w:rsidSect="00F629C4">
          <w:headerReference w:type="even" r:id="rId11"/>
          <w:headerReference w:type="default" r:id="rId12"/>
          <w:footerReference w:type="default" r:id="rId13"/>
          <w:headerReference w:type="first" r:id="rId14"/>
          <w:footerReference w:type="first" r:id="rId15"/>
          <w:type w:val="oddPage"/>
          <w:pgSz w:w="11906" w:h="16838" w:code="9"/>
          <w:pgMar w:top="1418" w:right="992" w:bottom="3969" w:left="1134" w:header="851" w:footer="1134" w:gutter="0"/>
          <w:paperSrc w:first="1512" w:other="1512"/>
          <w:cols w:space="720"/>
          <w:titlePg/>
          <w:docGrid w:linePitch="299"/>
        </w:sectPr>
      </w:pPr>
    </w:p>
    <w:p w14:paraId="1BBF295C" w14:textId="6FD8BD61" w:rsidR="002B4970" w:rsidRDefault="002B4970" w:rsidP="004175D9">
      <w:pPr>
        <w:pStyle w:val="Contents"/>
        <w:jc w:val="both"/>
        <w:rPr>
          <w:rFonts w:cs="Arial"/>
        </w:rPr>
      </w:pPr>
      <w:r w:rsidRPr="00E44D59">
        <w:rPr>
          <w:rFonts w:cs="Arial"/>
        </w:rPr>
        <w:lastRenderedPageBreak/>
        <w:t>Contents</w:t>
      </w:r>
    </w:p>
    <w:p w14:paraId="698D88F2" w14:textId="43F3E414" w:rsidR="0042106D" w:rsidRDefault="0042106D">
      <w:pPr>
        <w:pStyle w:val="TOC1"/>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\h \z \t "Heading 1,1,Heading 2,2,Heading 3,3,Title,1,VLA title,1" </w:instrText>
      </w:r>
      <w:r>
        <w:rPr>
          <w:b w:val="0"/>
        </w:rPr>
        <w:fldChar w:fldCharType="separate"/>
      </w:r>
      <w:hyperlink w:anchor="_Toc17155067" w:history="1">
        <w:r w:rsidRPr="00F37888">
          <w:rPr>
            <w:rStyle w:val="Hyperlink"/>
            <w:noProof/>
          </w:rPr>
          <w:t>Executive Summary</w:t>
        </w:r>
        <w:r>
          <w:rPr>
            <w:noProof/>
            <w:webHidden/>
          </w:rPr>
          <w:tab/>
        </w:r>
        <w:r>
          <w:rPr>
            <w:noProof/>
            <w:webHidden/>
          </w:rPr>
          <w:fldChar w:fldCharType="begin"/>
        </w:r>
        <w:r>
          <w:rPr>
            <w:noProof/>
            <w:webHidden/>
          </w:rPr>
          <w:instrText xml:space="preserve"> PAGEREF _Toc17155067 \h </w:instrText>
        </w:r>
        <w:r>
          <w:rPr>
            <w:noProof/>
            <w:webHidden/>
          </w:rPr>
        </w:r>
        <w:r>
          <w:rPr>
            <w:noProof/>
            <w:webHidden/>
          </w:rPr>
          <w:fldChar w:fldCharType="separate"/>
        </w:r>
        <w:r w:rsidR="00372623">
          <w:rPr>
            <w:noProof/>
            <w:webHidden/>
          </w:rPr>
          <w:t>1</w:t>
        </w:r>
        <w:r>
          <w:rPr>
            <w:noProof/>
            <w:webHidden/>
          </w:rPr>
          <w:fldChar w:fldCharType="end"/>
        </w:r>
      </w:hyperlink>
    </w:p>
    <w:p w14:paraId="75CB9E40" w14:textId="38803469" w:rsidR="0042106D" w:rsidRDefault="007B27CA">
      <w:pPr>
        <w:pStyle w:val="TOC1"/>
        <w:rPr>
          <w:rFonts w:asciiTheme="minorHAnsi" w:eastAsiaTheme="minorEastAsia" w:hAnsiTheme="minorHAnsi" w:cstheme="minorBidi"/>
          <w:b w:val="0"/>
          <w:noProof/>
          <w:sz w:val="22"/>
          <w:szCs w:val="22"/>
          <w:lang w:eastAsia="en-AU"/>
        </w:rPr>
      </w:pPr>
      <w:hyperlink w:anchor="_Toc17155068" w:history="1">
        <w:r w:rsidR="0042106D" w:rsidRPr="00F37888">
          <w:rPr>
            <w:rStyle w:val="Hyperlink"/>
            <w:noProof/>
          </w:rPr>
          <w:t>List of key recommendations</w:t>
        </w:r>
        <w:r w:rsidR="0042106D">
          <w:rPr>
            <w:noProof/>
            <w:webHidden/>
          </w:rPr>
          <w:tab/>
        </w:r>
        <w:r w:rsidR="0042106D">
          <w:rPr>
            <w:noProof/>
            <w:webHidden/>
          </w:rPr>
          <w:fldChar w:fldCharType="begin"/>
        </w:r>
        <w:r w:rsidR="0042106D">
          <w:rPr>
            <w:noProof/>
            <w:webHidden/>
          </w:rPr>
          <w:instrText xml:space="preserve"> PAGEREF _Toc17155068 \h </w:instrText>
        </w:r>
        <w:r w:rsidR="0042106D">
          <w:rPr>
            <w:noProof/>
            <w:webHidden/>
          </w:rPr>
        </w:r>
        <w:r w:rsidR="0042106D">
          <w:rPr>
            <w:noProof/>
            <w:webHidden/>
          </w:rPr>
          <w:fldChar w:fldCharType="separate"/>
        </w:r>
        <w:r w:rsidR="00372623">
          <w:rPr>
            <w:noProof/>
            <w:webHidden/>
          </w:rPr>
          <w:t>3</w:t>
        </w:r>
        <w:r w:rsidR="0042106D">
          <w:rPr>
            <w:noProof/>
            <w:webHidden/>
          </w:rPr>
          <w:fldChar w:fldCharType="end"/>
        </w:r>
      </w:hyperlink>
    </w:p>
    <w:p w14:paraId="1F83047F" w14:textId="7E6F905E" w:rsidR="0042106D" w:rsidRDefault="007B27CA">
      <w:pPr>
        <w:pStyle w:val="TOC1"/>
        <w:rPr>
          <w:rFonts w:asciiTheme="minorHAnsi" w:eastAsiaTheme="minorEastAsia" w:hAnsiTheme="minorHAnsi" w:cstheme="minorBidi"/>
          <w:b w:val="0"/>
          <w:noProof/>
          <w:sz w:val="22"/>
          <w:szCs w:val="22"/>
          <w:lang w:eastAsia="en-AU"/>
        </w:rPr>
      </w:pPr>
      <w:hyperlink w:anchor="_Toc17155069" w:history="1">
        <w:r w:rsidR="0042106D" w:rsidRPr="00F37888">
          <w:rPr>
            <w:rStyle w:val="Hyperlink"/>
            <w:noProof/>
          </w:rPr>
          <w:t>About VLA</w:t>
        </w:r>
        <w:r w:rsidR="0042106D">
          <w:rPr>
            <w:noProof/>
            <w:webHidden/>
          </w:rPr>
          <w:tab/>
        </w:r>
        <w:r w:rsidR="0042106D">
          <w:rPr>
            <w:noProof/>
            <w:webHidden/>
          </w:rPr>
          <w:fldChar w:fldCharType="begin"/>
        </w:r>
        <w:r w:rsidR="0042106D">
          <w:rPr>
            <w:noProof/>
            <w:webHidden/>
          </w:rPr>
          <w:instrText xml:space="preserve"> PAGEREF _Toc17155069 \h </w:instrText>
        </w:r>
        <w:r w:rsidR="0042106D">
          <w:rPr>
            <w:noProof/>
            <w:webHidden/>
          </w:rPr>
        </w:r>
        <w:r w:rsidR="0042106D">
          <w:rPr>
            <w:noProof/>
            <w:webHidden/>
          </w:rPr>
          <w:fldChar w:fldCharType="separate"/>
        </w:r>
        <w:r w:rsidR="00372623">
          <w:rPr>
            <w:noProof/>
            <w:webHidden/>
          </w:rPr>
          <w:t>4</w:t>
        </w:r>
        <w:r w:rsidR="0042106D">
          <w:rPr>
            <w:noProof/>
            <w:webHidden/>
          </w:rPr>
          <w:fldChar w:fldCharType="end"/>
        </w:r>
      </w:hyperlink>
    </w:p>
    <w:p w14:paraId="005050BC" w14:textId="0A4311DC" w:rsidR="0042106D" w:rsidRDefault="007B27CA">
      <w:pPr>
        <w:pStyle w:val="TOC2"/>
        <w:rPr>
          <w:rFonts w:asciiTheme="minorHAnsi" w:eastAsiaTheme="minorEastAsia" w:hAnsiTheme="minorHAnsi" w:cstheme="minorBidi"/>
          <w:sz w:val="22"/>
          <w:szCs w:val="22"/>
          <w:lang w:eastAsia="en-AU"/>
        </w:rPr>
      </w:pPr>
      <w:hyperlink w:anchor="_Toc17155070" w:history="1">
        <w:r w:rsidR="0042106D" w:rsidRPr="00F37888">
          <w:rPr>
            <w:rStyle w:val="Hyperlink"/>
          </w:rPr>
          <w:t>Our clients</w:t>
        </w:r>
        <w:r w:rsidR="0042106D">
          <w:rPr>
            <w:webHidden/>
          </w:rPr>
          <w:tab/>
        </w:r>
        <w:r w:rsidR="0042106D">
          <w:rPr>
            <w:webHidden/>
          </w:rPr>
          <w:fldChar w:fldCharType="begin"/>
        </w:r>
        <w:r w:rsidR="0042106D">
          <w:rPr>
            <w:webHidden/>
          </w:rPr>
          <w:instrText xml:space="preserve"> PAGEREF _Toc17155070 \h </w:instrText>
        </w:r>
        <w:r w:rsidR="0042106D">
          <w:rPr>
            <w:webHidden/>
          </w:rPr>
        </w:r>
        <w:r w:rsidR="0042106D">
          <w:rPr>
            <w:webHidden/>
          </w:rPr>
          <w:fldChar w:fldCharType="separate"/>
        </w:r>
        <w:r w:rsidR="00372623">
          <w:rPr>
            <w:webHidden/>
          </w:rPr>
          <w:t>4</w:t>
        </w:r>
        <w:r w:rsidR="0042106D">
          <w:rPr>
            <w:webHidden/>
          </w:rPr>
          <w:fldChar w:fldCharType="end"/>
        </w:r>
      </w:hyperlink>
    </w:p>
    <w:p w14:paraId="2435F28C" w14:textId="03BAADB0" w:rsidR="0042106D" w:rsidRDefault="007B27CA">
      <w:pPr>
        <w:pStyle w:val="TOC2"/>
        <w:rPr>
          <w:rFonts w:asciiTheme="minorHAnsi" w:eastAsiaTheme="minorEastAsia" w:hAnsiTheme="minorHAnsi" w:cstheme="minorBidi"/>
          <w:sz w:val="22"/>
          <w:szCs w:val="22"/>
          <w:lang w:eastAsia="en-AU"/>
        </w:rPr>
      </w:pPr>
      <w:hyperlink w:anchor="_Toc17155071" w:history="1">
        <w:r w:rsidR="0042106D" w:rsidRPr="00F37888">
          <w:rPr>
            <w:rStyle w:val="Hyperlink"/>
          </w:rPr>
          <w:t>Our services</w:t>
        </w:r>
        <w:r w:rsidR="0042106D">
          <w:rPr>
            <w:webHidden/>
          </w:rPr>
          <w:tab/>
        </w:r>
        <w:r w:rsidR="0042106D">
          <w:rPr>
            <w:webHidden/>
          </w:rPr>
          <w:fldChar w:fldCharType="begin"/>
        </w:r>
        <w:r w:rsidR="0042106D">
          <w:rPr>
            <w:webHidden/>
          </w:rPr>
          <w:instrText xml:space="preserve"> PAGEREF _Toc17155071 \h </w:instrText>
        </w:r>
        <w:r w:rsidR="0042106D">
          <w:rPr>
            <w:webHidden/>
          </w:rPr>
        </w:r>
        <w:r w:rsidR="0042106D">
          <w:rPr>
            <w:webHidden/>
          </w:rPr>
          <w:fldChar w:fldCharType="separate"/>
        </w:r>
        <w:r w:rsidR="00372623">
          <w:rPr>
            <w:webHidden/>
          </w:rPr>
          <w:t>4</w:t>
        </w:r>
        <w:r w:rsidR="0042106D">
          <w:rPr>
            <w:webHidden/>
          </w:rPr>
          <w:fldChar w:fldCharType="end"/>
        </w:r>
      </w:hyperlink>
    </w:p>
    <w:p w14:paraId="44A6ABD1" w14:textId="16435D81" w:rsidR="0042106D" w:rsidRDefault="007B27CA">
      <w:pPr>
        <w:pStyle w:val="TOC1"/>
        <w:rPr>
          <w:rFonts w:asciiTheme="minorHAnsi" w:eastAsiaTheme="minorEastAsia" w:hAnsiTheme="minorHAnsi" w:cstheme="minorBidi"/>
          <w:b w:val="0"/>
          <w:noProof/>
          <w:sz w:val="22"/>
          <w:szCs w:val="22"/>
          <w:lang w:eastAsia="en-AU"/>
        </w:rPr>
      </w:pPr>
      <w:hyperlink w:anchor="_Toc17155072" w:history="1">
        <w:r w:rsidR="0042106D" w:rsidRPr="00F37888">
          <w:rPr>
            <w:rStyle w:val="Hyperlink"/>
            <w:noProof/>
          </w:rPr>
          <w:t>Question 1. What purposes can or should committal proceedings serve?</w:t>
        </w:r>
        <w:r w:rsidR="0042106D">
          <w:rPr>
            <w:noProof/>
            <w:webHidden/>
          </w:rPr>
          <w:tab/>
        </w:r>
        <w:r w:rsidR="0042106D">
          <w:rPr>
            <w:noProof/>
            <w:webHidden/>
          </w:rPr>
          <w:fldChar w:fldCharType="begin"/>
        </w:r>
        <w:r w:rsidR="0042106D">
          <w:rPr>
            <w:noProof/>
            <w:webHidden/>
          </w:rPr>
          <w:instrText xml:space="preserve"> PAGEREF _Toc17155072 \h </w:instrText>
        </w:r>
        <w:r w:rsidR="0042106D">
          <w:rPr>
            <w:noProof/>
            <w:webHidden/>
          </w:rPr>
        </w:r>
        <w:r w:rsidR="0042106D">
          <w:rPr>
            <w:noProof/>
            <w:webHidden/>
          </w:rPr>
          <w:fldChar w:fldCharType="separate"/>
        </w:r>
        <w:r w:rsidR="00372623">
          <w:rPr>
            <w:noProof/>
            <w:webHidden/>
          </w:rPr>
          <w:t>6</w:t>
        </w:r>
        <w:r w:rsidR="0042106D">
          <w:rPr>
            <w:noProof/>
            <w:webHidden/>
          </w:rPr>
          <w:fldChar w:fldCharType="end"/>
        </w:r>
      </w:hyperlink>
    </w:p>
    <w:p w14:paraId="491A59AD" w14:textId="50C764C9" w:rsidR="0042106D" w:rsidRDefault="007B27CA">
      <w:pPr>
        <w:pStyle w:val="TOC3"/>
        <w:rPr>
          <w:rFonts w:asciiTheme="minorHAnsi" w:eastAsiaTheme="minorEastAsia" w:hAnsiTheme="minorHAnsi" w:cstheme="minorBidi"/>
          <w:sz w:val="22"/>
          <w:szCs w:val="22"/>
          <w:lang w:eastAsia="en-AU"/>
        </w:rPr>
      </w:pPr>
      <w:hyperlink w:anchor="_Toc17155073" w:history="1">
        <w:r w:rsidR="0042106D" w:rsidRPr="00F37888">
          <w:rPr>
            <w:rStyle w:val="Hyperlink"/>
          </w:rPr>
          <w:t>1. Facilitating early resolution through disclosure</w:t>
        </w:r>
        <w:r w:rsidR="0042106D">
          <w:rPr>
            <w:webHidden/>
          </w:rPr>
          <w:tab/>
        </w:r>
        <w:r w:rsidR="0042106D">
          <w:rPr>
            <w:webHidden/>
          </w:rPr>
          <w:fldChar w:fldCharType="begin"/>
        </w:r>
        <w:r w:rsidR="0042106D">
          <w:rPr>
            <w:webHidden/>
          </w:rPr>
          <w:instrText xml:space="preserve"> PAGEREF _Toc17155073 \h </w:instrText>
        </w:r>
        <w:r w:rsidR="0042106D">
          <w:rPr>
            <w:webHidden/>
          </w:rPr>
        </w:r>
        <w:r w:rsidR="0042106D">
          <w:rPr>
            <w:webHidden/>
          </w:rPr>
          <w:fldChar w:fldCharType="separate"/>
        </w:r>
        <w:r w:rsidR="00372623">
          <w:rPr>
            <w:webHidden/>
          </w:rPr>
          <w:t>6</w:t>
        </w:r>
        <w:r w:rsidR="0042106D">
          <w:rPr>
            <w:webHidden/>
          </w:rPr>
          <w:fldChar w:fldCharType="end"/>
        </w:r>
      </w:hyperlink>
    </w:p>
    <w:p w14:paraId="12EF1924" w14:textId="187CBFC7" w:rsidR="0042106D" w:rsidRDefault="007B27CA">
      <w:pPr>
        <w:pStyle w:val="TOC3"/>
        <w:rPr>
          <w:rFonts w:asciiTheme="minorHAnsi" w:eastAsiaTheme="minorEastAsia" w:hAnsiTheme="minorHAnsi" w:cstheme="minorBidi"/>
          <w:sz w:val="22"/>
          <w:szCs w:val="22"/>
          <w:lang w:eastAsia="en-AU"/>
        </w:rPr>
      </w:pPr>
      <w:hyperlink w:anchor="_Toc17155074" w:history="1">
        <w:r w:rsidR="0042106D" w:rsidRPr="00F37888">
          <w:rPr>
            <w:rStyle w:val="Hyperlink"/>
          </w:rPr>
          <w:t>2. Facilitating early resolution through targeted testing of key evidence</w:t>
        </w:r>
        <w:r w:rsidR="0042106D">
          <w:rPr>
            <w:webHidden/>
          </w:rPr>
          <w:tab/>
        </w:r>
        <w:r w:rsidR="0042106D">
          <w:rPr>
            <w:webHidden/>
          </w:rPr>
          <w:fldChar w:fldCharType="begin"/>
        </w:r>
        <w:r w:rsidR="0042106D">
          <w:rPr>
            <w:webHidden/>
          </w:rPr>
          <w:instrText xml:space="preserve"> PAGEREF _Toc17155074 \h </w:instrText>
        </w:r>
        <w:r w:rsidR="0042106D">
          <w:rPr>
            <w:webHidden/>
          </w:rPr>
        </w:r>
        <w:r w:rsidR="0042106D">
          <w:rPr>
            <w:webHidden/>
          </w:rPr>
          <w:fldChar w:fldCharType="separate"/>
        </w:r>
        <w:r w:rsidR="00372623">
          <w:rPr>
            <w:webHidden/>
          </w:rPr>
          <w:t>7</w:t>
        </w:r>
        <w:r w:rsidR="0042106D">
          <w:rPr>
            <w:webHidden/>
          </w:rPr>
          <w:fldChar w:fldCharType="end"/>
        </w:r>
      </w:hyperlink>
    </w:p>
    <w:p w14:paraId="79A44501" w14:textId="1E32B506" w:rsidR="0042106D" w:rsidRDefault="007B27CA">
      <w:pPr>
        <w:pStyle w:val="TOC3"/>
        <w:rPr>
          <w:rFonts w:asciiTheme="minorHAnsi" w:eastAsiaTheme="minorEastAsia" w:hAnsiTheme="minorHAnsi" w:cstheme="minorBidi"/>
          <w:sz w:val="22"/>
          <w:szCs w:val="22"/>
          <w:lang w:eastAsia="en-AU"/>
        </w:rPr>
      </w:pPr>
      <w:hyperlink w:anchor="_Toc17155075" w:history="1">
        <w:r w:rsidR="0042106D" w:rsidRPr="00F37888">
          <w:rPr>
            <w:rStyle w:val="Hyperlink"/>
          </w:rPr>
          <w:t>3. Independent consideration of the prosecution case</w:t>
        </w:r>
        <w:r w:rsidR="0042106D">
          <w:rPr>
            <w:webHidden/>
          </w:rPr>
          <w:tab/>
        </w:r>
        <w:r w:rsidR="0042106D">
          <w:rPr>
            <w:webHidden/>
          </w:rPr>
          <w:fldChar w:fldCharType="begin"/>
        </w:r>
        <w:r w:rsidR="0042106D">
          <w:rPr>
            <w:webHidden/>
          </w:rPr>
          <w:instrText xml:space="preserve"> PAGEREF _Toc17155075 \h </w:instrText>
        </w:r>
        <w:r w:rsidR="0042106D">
          <w:rPr>
            <w:webHidden/>
          </w:rPr>
        </w:r>
        <w:r w:rsidR="0042106D">
          <w:rPr>
            <w:webHidden/>
          </w:rPr>
          <w:fldChar w:fldCharType="separate"/>
        </w:r>
        <w:r w:rsidR="00372623">
          <w:rPr>
            <w:webHidden/>
          </w:rPr>
          <w:t>7</w:t>
        </w:r>
        <w:r w:rsidR="0042106D">
          <w:rPr>
            <w:webHidden/>
          </w:rPr>
          <w:fldChar w:fldCharType="end"/>
        </w:r>
      </w:hyperlink>
    </w:p>
    <w:p w14:paraId="2DF829C8" w14:textId="27206F78" w:rsidR="0042106D" w:rsidRDefault="007B27CA">
      <w:pPr>
        <w:pStyle w:val="TOC1"/>
        <w:rPr>
          <w:rFonts w:asciiTheme="minorHAnsi" w:eastAsiaTheme="minorEastAsia" w:hAnsiTheme="minorHAnsi" w:cstheme="minorBidi"/>
          <w:b w:val="0"/>
          <w:noProof/>
          <w:sz w:val="22"/>
          <w:szCs w:val="22"/>
          <w:lang w:eastAsia="en-AU"/>
        </w:rPr>
      </w:pPr>
      <w:hyperlink w:anchor="_Toc17155076" w:history="1">
        <w:r w:rsidR="0042106D" w:rsidRPr="00F37888">
          <w:rPr>
            <w:rStyle w:val="Hyperlink"/>
            <w:noProof/>
          </w:rPr>
          <w:t>Question 2. What, if any, measures should be introduced to: a) reduce the difference between charges that are initially filed and those ultimately prosecuted? and b) ensure appropriate charges are filed at the earliest possible stage in a case?</w:t>
        </w:r>
        <w:r w:rsidR="0042106D">
          <w:rPr>
            <w:noProof/>
            <w:webHidden/>
          </w:rPr>
          <w:tab/>
        </w:r>
        <w:r w:rsidR="0042106D">
          <w:rPr>
            <w:noProof/>
            <w:webHidden/>
          </w:rPr>
          <w:fldChar w:fldCharType="begin"/>
        </w:r>
        <w:r w:rsidR="0042106D">
          <w:rPr>
            <w:noProof/>
            <w:webHidden/>
          </w:rPr>
          <w:instrText xml:space="preserve"> PAGEREF _Toc17155076 \h </w:instrText>
        </w:r>
        <w:r w:rsidR="0042106D">
          <w:rPr>
            <w:noProof/>
            <w:webHidden/>
          </w:rPr>
        </w:r>
        <w:r w:rsidR="0042106D">
          <w:rPr>
            <w:noProof/>
            <w:webHidden/>
          </w:rPr>
          <w:fldChar w:fldCharType="separate"/>
        </w:r>
        <w:r w:rsidR="00372623">
          <w:rPr>
            <w:noProof/>
            <w:webHidden/>
          </w:rPr>
          <w:t>8</w:t>
        </w:r>
        <w:r w:rsidR="0042106D">
          <w:rPr>
            <w:noProof/>
            <w:webHidden/>
          </w:rPr>
          <w:fldChar w:fldCharType="end"/>
        </w:r>
      </w:hyperlink>
    </w:p>
    <w:p w14:paraId="24679F38" w14:textId="00C9C4FF" w:rsidR="0042106D" w:rsidRDefault="007B27CA">
      <w:pPr>
        <w:pStyle w:val="TOC3"/>
        <w:rPr>
          <w:rFonts w:asciiTheme="minorHAnsi" w:eastAsiaTheme="minorEastAsia" w:hAnsiTheme="minorHAnsi" w:cstheme="minorBidi"/>
          <w:sz w:val="22"/>
          <w:szCs w:val="22"/>
          <w:lang w:eastAsia="en-AU"/>
        </w:rPr>
      </w:pPr>
      <w:hyperlink w:anchor="_Toc17155077" w:history="1">
        <w:r w:rsidR="0042106D" w:rsidRPr="00F37888">
          <w:rPr>
            <w:rStyle w:val="Hyperlink"/>
          </w:rPr>
          <w:t>1. Improved charging practices</w:t>
        </w:r>
        <w:r w:rsidR="0042106D">
          <w:rPr>
            <w:webHidden/>
          </w:rPr>
          <w:tab/>
        </w:r>
        <w:r w:rsidR="0042106D">
          <w:rPr>
            <w:webHidden/>
          </w:rPr>
          <w:fldChar w:fldCharType="begin"/>
        </w:r>
        <w:r w:rsidR="0042106D">
          <w:rPr>
            <w:webHidden/>
          </w:rPr>
          <w:instrText xml:space="preserve"> PAGEREF _Toc17155077 \h </w:instrText>
        </w:r>
        <w:r w:rsidR="0042106D">
          <w:rPr>
            <w:webHidden/>
          </w:rPr>
        </w:r>
        <w:r w:rsidR="0042106D">
          <w:rPr>
            <w:webHidden/>
          </w:rPr>
          <w:fldChar w:fldCharType="separate"/>
        </w:r>
        <w:r w:rsidR="00372623">
          <w:rPr>
            <w:webHidden/>
          </w:rPr>
          <w:t>8</w:t>
        </w:r>
        <w:r w:rsidR="0042106D">
          <w:rPr>
            <w:webHidden/>
          </w:rPr>
          <w:fldChar w:fldCharType="end"/>
        </w:r>
      </w:hyperlink>
    </w:p>
    <w:p w14:paraId="3653FEB6" w14:textId="5BA76D7E" w:rsidR="0042106D" w:rsidRDefault="007B27CA">
      <w:pPr>
        <w:pStyle w:val="TOC3"/>
        <w:rPr>
          <w:rFonts w:asciiTheme="minorHAnsi" w:eastAsiaTheme="minorEastAsia" w:hAnsiTheme="minorHAnsi" w:cstheme="minorBidi"/>
          <w:sz w:val="22"/>
          <w:szCs w:val="22"/>
          <w:lang w:eastAsia="en-AU"/>
        </w:rPr>
      </w:pPr>
      <w:hyperlink w:anchor="_Toc17155078" w:history="1">
        <w:r w:rsidR="0042106D" w:rsidRPr="00F37888">
          <w:rPr>
            <w:rStyle w:val="Hyperlink"/>
          </w:rPr>
          <w:t>2. Oversight of charges by the prosecution</w:t>
        </w:r>
        <w:r w:rsidR="0042106D">
          <w:rPr>
            <w:webHidden/>
          </w:rPr>
          <w:tab/>
        </w:r>
        <w:r w:rsidR="0042106D">
          <w:rPr>
            <w:webHidden/>
          </w:rPr>
          <w:fldChar w:fldCharType="begin"/>
        </w:r>
        <w:r w:rsidR="0042106D">
          <w:rPr>
            <w:webHidden/>
          </w:rPr>
          <w:instrText xml:space="preserve"> PAGEREF _Toc17155078 \h </w:instrText>
        </w:r>
        <w:r w:rsidR="0042106D">
          <w:rPr>
            <w:webHidden/>
          </w:rPr>
        </w:r>
        <w:r w:rsidR="0042106D">
          <w:rPr>
            <w:webHidden/>
          </w:rPr>
          <w:fldChar w:fldCharType="separate"/>
        </w:r>
        <w:r w:rsidR="00372623">
          <w:rPr>
            <w:webHidden/>
          </w:rPr>
          <w:t>10</w:t>
        </w:r>
        <w:r w:rsidR="0042106D">
          <w:rPr>
            <w:webHidden/>
          </w:rPr>
          <w:fldChar w:fldCharType="end"/>
        </w:r>
      </w:hyperlink>
    </w:p>
    <w:p w14:paraId="4F5F5E03" w14:textId="1088DAA4" w:rsidR="0042106D" w:rsidRDefault="007B27CA">
      <w:pPr>
        <w:pStyle w:val="TOC3"/>
        <w:rPr>
          <w:rFonts w:asciiTheme="minorHAnsi" w:eastAsiaTheme="minorEastAsia" w:hAnsiTheme="minorHAnsi" w:cstheme="minorBidi"/>
          <w:sz w:val="22"/>
          <w:szCs w:val="22"/>
          <w:lang w:eastAsia="en-AU"/>
        </w:rPr>
      </w:pPr>
      <w:hyperlink w:anchor="_Toc17155079" w:history="1">
        <w:r w:rsidR="0042106D" w:rsidRPr="00F37888">
          <w:rPr>
            <w:rStyle w:val="Hyperlink"/>
          </w:rPr>
          <w:t>3. Improved disclosure and early engagement with the evidence by all parties</w:t>
        </w:r>
        <w:r w:rsidR="0042106D">
          <w:rPr>
            <w:webHidden/>
          </w:rPr>
          <w:tab/>
        </w:r>
        <w:r w:rsidR="0042106D">
          <w:rPr>
            <w:webHidden/>
          </w:rPr>
          <w:fldChar w:fldCharType="begin"/>
        </w:r>
        <w:r w:rsidR="0042106D">
          <w:rPr>
            <w:webHidden/>
          </w:rPr>
          <w:instrText xml:space="preserve"> PAGEREF _Toc17155079 \h </w:instrText>
        </w:r>
        <w:r w:rsidR="0042106D">
          <w:rPr>
            <w:webHidden/>
          </w:rPr>
        </w:r>
        <w:r w:rsidR="0042106D">
          <w:rPr>
            <w:webHidden/>
          </w:rPr>
          <w:fldChar w:fldCharType="separate"/>
        </w:r>
        <w:r w:rsidR="00372623">
          <w:rPr>
            <w:webHidden/>
          </w:rPr>
          <w:t>10</w:t>
        </w:r>
        <w:r w:rsidR="0042106D">
          <w:rPr>
            <w:webHidden/>
          </w:rPr>
          <w:fldChar w:fldCharType="end"/>
        </w:r>
      </w:hyperlink>
    </w:p>
    <w:p w14:paraId="18A68763" w14:textId="2C158DEA" w:rsidR="0042106D" w:rsidRDefault="007B27CA">
      <w:pPr>
        <w:pStyle w:val="TOC1"/>
        <w:rPr>
          <w:rFonts w:asciiTheme="minorHAnsi" w:eastAsiaTheme="minorEastAsia" w:hAnsiTheme="minorHAnsi" w:cstheme="minorBidi"/>
          <w:b w:val="0"/>
          <w:noProof/>
          <w:sz w:val="22"/>
          <w:szCs w:val="22"/>
          <w:lang w:eastAsia="en-AU"/>
        </w:rPr>
      </w:pPr>
      <w:hyperlink w:anchor="_Toc17155080" w:history="1">
        <w:r w:rsidR="0042106D" w:rsidRPr="00F37888">
          <w:rPr>
            <w:rStyle w:val="Hyperlink"/>
            <w:noProof/>
          </w:rPr>
          <w:t>Question 3. Should the OPP be involved in determining appropriate indictable charges at an earlier stage? If so how?</w:t>
        </w:r>
        <w:r w:rsidR="0042106D">
          <w:rPr>
            <w:noProof/>
            <w:webHidden/>
          </w:rPr>
          <w:tab/>
        </w:r>
        <w:r w:rsidR="0042106D">
          <w:rPr>
            <w:noProof/>
            <w:webHidden/>
          </w:rPr>
          <w:fldChar w:fldCharType="begin"/>
        </w:r>
        <w:r w:rsidR="0042106D">
          <w:rPr>
            <w:noProof/>
            <w:webHidden/>
          </w:rPr>
          <w:instrText xml:space="preserve"> PAGEREF _Toc17155080 \h </w:instrText>
        </w:r>
        <w:r w:rsidR="0042106D">
          <w:rPr>
            <w:noProof/>
            <w:webHidden/>
          </w:rPr>
        </w:r>
        <w:r w:rsidR="0042106D">
          <w:rPr>
            <w:noProof/>
            <w:webHidden/>
          </w:rPr>
          <w:fldChar w:fldCharType="separate"/>
        </w:r>
        <w:r w:rsidR="00372623">
          <w:rPr>
            <w:noProof/>
            <w:webHidden/>
          </w:rPr>
          <w:t>10</w:t>
        </w:r>
        <w:r w:rsidR="0042106D">
          <w:rPr>
            <w:noProof/>
            <w:webHidden/>
          </w:rPr>
          <w:fldChar w:fldCharType="end"/>
        </w:r>
      </w:hyperlink>
    </w:p>
    <w:p w14:paraId="47A4A2D4" w14:textId="4C87C4DB" w:rsidR="0042106D" w:rsidRDefault="007B27CA">
      <w:pPr>
        <w:pStyle w:val="TOC3"/>
        <w:rPr>
          <w:rFonts w:asciiTheme="minorHAnsi" w:eastAsiaTheme="minorEastAsia" w:hAnsiTheme="minorHAnsi" w:cstheme="minorBidi"/>
          <w:sz w:val="22"/>
          <w:szCs w:val="22"/>
          <w:lang w:eastAsia="en-AU"/>
        </w:rPr>
      </w:pPr>
      <w:hyperlink w:anchor="_Toc17155081" w:history="1">
        <w:r w:rsidR="0042106D" w:rsidRPr="00F37888">
          <w:rPr>
            <w:rStyle w:val="Hyperlink"/>
          </w:rPr>
          <w:t>1. Oversight of charges and the preparation of the hand-up brief</w:t>
        </w:r>
        <w:r w:rsidR="0042106D">
          <w:rPr>
            <w:webHidden/>
          </w:rPr>
          <w:tab/>
        </w:r>
        <w:r w:rsidR="0042106D">
          <w:rPr>
            <w:webHidden/>
          </w:rPr>
          <w:fldChar w:fldCharType="begin"/>
        </w:r>
        <w:r w:rsidR="0042106D">
          <w:rPr>
            <w:webHidden/>
          </w:rPr>
          <w:instrText xml:space="preserve"> PAGEREF _Toc17155081 \h </w:instrText>
        </w:r>
        <w:r w:rsidR="0042106D">
          <w:rPr>
            <w:webHidden/>
          </w:rPr>
        </w:r>
        <w:r w:rsidR="0042106D">
          <w:rPr>
            <w:webHidden/>
          </w:rPr>
          <w:fldChar w:fldCharType="separate"/>
        </w:r>
        <w:r w:rsidR="00372623">
          <w:rPr>
            <w:webHidden/>
          </w:rPr>
          <w:t>10</w:t>
        </w:r>
        <w:r w:rsidR="0042106D">
          <w:rPr>
            <w:webHidden/>
          </w:rPr>
          <w:fldChar w:fldCharType="end"/>
        </w:r>
      </w:hyperlink>
    </w:p>
    <w:p w14:paraId="12076BE5" w14:textId="502E600E" w:rsidR="0042106D" w:rsidRDefault="007B27CA">
      <w:pPr>
        <w:pStyle w:val="TOC3"/>
        <w:rPr>
          <w:rFonts w:asciiTheme="minorHAnsi" w:eastAsiaTheme="minorEastAsia" w:hAnsiTheme="minorHAnsi" w:cstheme="minorBidi"/>
          <w:sz w:val="22"/>
          <w:szCs w:val="22"/>
          <w:lang w:eastAsia="en-AU"/>
        </w:rPr>
      </w:pPr>
      <w:hyperlink w:anchor="_Toc17155082" w:history="1">
        <w:r w:rsidR="0042106D" w:rsidRPr="00F37888">
          <w:rPr>
            <w:rStyle w:val="Hyperlink"/>
          </w:rPr>
          <w:t>2. Certification of the appropriateness of the charges and disclosure</w:t>
        </w:r>
        <w:r w:rsidR="0042106D">
          <w:rPr>
            <w:webHidden/>
          </w:rPr>
          <w:tab/>
        </w:r>
        <w:r w:rsidR="0042106D">
          <w:rPr>
            <w:webHidden/>
          </w:rPr>
          <w:fldChar w:fldCharType="begin"/>
        </w:r>
        <w:r w:rsidR="0042106D">
          <w:rPr>
            <w:webHidden/>
          </w:rPr>
          <w:instrText xml:space="preserve"> PAGEREF _Toc17155082 \h </w:instrText>
        </w:r>
        <w:r w:rsidR="0042106D">
          <w:rPr>
            <w:webHidden/>
          </w:rPr>
        </w:r>
        <w:r w:rsidR="0042106D">
          <w:rPr>
            <w:webHidden/>
          </w:rPr>
          <w:fldChar w:fldCharType="separate"/>
        </w:r>
        <w:r w:rsidR="00372623">
          <w:rPr>
            <w:webHidden/>
          </w:rPr>
          <w:t>11</w:t>
        </w:r>
        <w:r w:rsidR="0042106D">
          <w:rPr>
            <w:webHidden/>
          </w:rPr>
          <w:fldChar w:fldCharType="end"/>
        </w:r>
      </w:hyperlink>
    </w:p>
    <w:p w14:paraId="41C2F19B" w14:textId="7860A4F0" w:rsidR="0042106D" w:rsidRDefault="007B27CA">
      <w:pPr>
        <w:pStyle w:val="TOC3"/>
        <w:rPr>
          <w:rFonts w:asciiTheme="minorHAnsi" w:eastAsiaTheme="minorEastAsia" w:hAnsiTheme="minorHAnsi" w:cstheme="minorBidi"/>
          <w:sz w:val="22"/>
          <w:szCs w:val="22"/>
          <w:lang w:eastAsia="en-AU"/>
        </w:rPr>
      </w:pPr>
      <w:hyperlink w:anchor="_Toc17155083" w:history="1">
        <w:r w:rsidR="0042106D" w:rsidRPr="00F37888">
          <w:rPr>
            <w:rStyle w:val="Hyperlink"/>
          </w:rPr>
          <w:t>3. Communicating with victims</w:t>
        </w:r>
        <w:r w:rsidR="0042106D">
          <w:rPr>
            <w:webHidden/>
          </w:rPr>
          <w:tab/>
        </w:r>
        <w:r w:rsidR="0042106D">
          <w:rPr>
            <w:webHidden/>
          </w:rPr>
          <w:fldChar w:fldCharType="begin"/>
        </w:r>
        <w:r w:rsidR="0042106D">
          <w:rPr>
            <w:webHidden/>
          </w:rPr>
          <w:instrText xml:space="preserve"> PAGEREF _Toc17155083 \h </w:instrText>
        </w:r>
        <w:r w:rsidR="0042106D">
          <w:rPr>
            <w:webHidden/>
          </w:rPr>
        </w:r>
        <w:r w:rsidR="0042106D">
          <w:rPr>
            <w:webHidden/>
          </w:rPr>
          <w:fldChar w:fldCharType="separate"/>
        </w:r>
        <w:r w:rsidR="00372623">
          <w:rPr>
            <w:webHidden/>
          </w:rPr>
          <w:t>12</w:t>
        </w:r>
        <w:r w:rsidR="0042106D">
          <w:rPr>
            <w:webHidden/>
          </w:rPr>
          <w:fldChar w:fldCharType="end"/>
        </w:r>
      </w:hyperlink>
    </w:p>
    <w:p w14:paraId="6EBB90BC" w14:textId="7B27FA31" w:rsidR="0042106D" w:rsidRDefault="007B27CA">
      <w:pPr>
        <w:pStyle w:val="TOC3"/>
        <w:rPr>
          <w:rFonts w:asciiTheme="minorHAnsi" w:eastAsiaTheme="minorEastAsia" w:hAnsiTheme="minorHAnsi" w:cstheme="minorBidi"/>
          <w:sz w:val="22"/>
          <w:szCs w:val="22"/>
          <w:lang w:eastAsia="en-AU"/>
        </w:rPr>
      </w:pPr>
      <w:hyperlink w:anchor="_Toc17155084" w:history="1">
        <w:r w:rsidR="0042106D" w:rsidRPr="00F37888">
          <w:rPr>
            <w:rStyle w:val="Hyperlink"/>
          </w:rPr>
          <w:t>4. Early engagement with the evidence by all parties, including senior prosecutors</w:t>
        </w:r>
        <w:r w:rsidR="0042106D">
          <w:rPr>
            <w:webHidden/>
          </w:rPr>
          <w:tab/>
        </w:r>
        <w:r w:rsidR="0042106D">
          <w:rPr>
            <w:webHidden/>
          </w:rPr>
          <w:fldChar w:fldCharType="begin"/>
        </w:r>
        <w:r w:rsidR="0042106D">
          <w:rPr>
            <w:webHidden/>
          </w:rPr>
          <w:instrText xml:space="preserve"> PAGEREF _Toc17155084 \h </w:instrText>
        </w:r>
        <w:r w:rsidR="0042106D">
          <w:rPr>
            <w:webHidden/>
          </w:rPr>
        </w:r>
        <w:r w:rsidR="0042106D">
          <w:rPr>
            <w:webHidden/>
          </w:rPr>
          <w:fldChar w:fldCharType="separate"/>
        </w:r>
        <w:r w:rsidR="00372623">
          <w:rPr>
            <w:webHidden/>
          </w:rPr>
          <w:t>12</w:t>
        </w:r>
        <w:r w:rsidR="0042106D">
          <w:rPr>
            <w:webHidden/>
          </w:rPr>
          <w:fldChar w:fldCharType="end"/>
        </w:r>
      </w:hyperlink>
    </w:p>
    <w:p w14:paraId="2CAC7CCD" w14:textId="2F823C0D" w:rsidR="0042106D" w:rsidRDefault="007B27CA">
      <w:pPr>
        <w:pStyle w:val="TOC1"/>
        <w:rPr>
          <w:rFonts w:asciiTheme="minorHAnsi" w:eastAsiaTheme="minorEastAsia" w:hAnsiTheme="minorHAnsi" w:cstheme="minorBidi"/>
          <w:b w:val="0"/>
          <w:noProof/>
          <w:sz w:val="22"/>
          <w:szCs w:val="22"/>
          <w:lang w:eastAsia="en-AU"/>
        </w:rPr>
      </w:pPr>
      <w:hyperlink w:anchor="_Toc17155085" w:history="1">
        <w:r w:rsidR="0042106D" w:rsidRPr="00F37888">
          <w:rPr>
            <w:rStyle w:val="Hyperlink"/>
            <w:noProof/>
          </w:rPr>
          <w:t>Question 4. What measures can be introduced to improve disclosure in indictable matters? a) between investigating agencies and the DPP? b) between prosecutors and the defence?</w:t>
        </w:r>
        <w:r w:rsidR="0042106D">
          <w:rPr>
            <w:noProof/>
            <w:webHidden/>
          </w:rPr>
          <w:tab/>
        </w:r>
        <w:r w:rsidR="0042106D">
          <w:rPr>
            <w:noProof/>
            <w:webHidden/>
          </w:rPr>
          <w:fldChar w:fldCharType="begin"/>
        </w:r>
        <w:r w:rsidR="0042106D">
          <w:rPr>
            <w:noProof/>
            <w:webHidden/>
          </w:rPr>
          <w:instrText xml:space="preserve"> PAGEREF _Toc17155085 \h </w:instrText>
        </w:r>
        <w:r w:rsidR="0042106D">
          <w:rPr>
            <w:noProof/>
            <w:webHidden/>
          </w:rPr>
        </w:r>
        <w:r w:rsidR="0042106D">
          <w:rPr>
            <w:noProof/>
            <w:webHidden/>
          </w:rPr>
          <w:fldChar w:fldCharType="separate"/>
        </w:r>
        <w:r w:rsidR="00372623">
          <w:rPr>
            <w:noProof/>
            <w:webHidden/>
          </w:rPr>
          <w:t>12</w:t>
        </w:r>
        <w:r w:rsidR="0042106D">
          <w:rPr>
            <w:noProof/>
            <w:webHidden/>
          </w:rPr>
          <w:fldChar w:fldCharType="end"/>
        </w:r>
      </w:hyperlink>
    </w:p>
    <w:p w14:paraId="703C8BBA" w14:textId="54F9704B" w:rsidR="0042106D" w:rsidRDefault="007B27CA">
      <w:pPr>
        <w:pStyle w:val="TOC3"/>
        <w:rPr>
          <w:rFonts w:asciiTheme="minorHAnsi" w:eastAsiaTheme="minorEastAsia" w:hAnsiTheme="minorHAnsi" w:cstheme="minorBidi"/>
          <w:sz w:val="22"/>
          <w:szCs w:val="22"/>
          <w:lang w:eastAsia="en-AU"/>
        </w:rPr>
      </w:pPr>
      <w:hyperlink w:anchor="_Toc17155086" w:history="1">
        <w:r w:rsidR="0042106D" w:rsidRPr="00F37888">
          <w:rPr>
            <w:rStyle w:val="Hyperlink"/>
          </w:rPr>
          <w:t>1. Standardised disclosure obligations across all indictable matters</w:t>
        </w:r>
        <w:r w:rsidR="0042106D">
          <w:rPr>
            <w:webHidden/>
          </w:rPr>
          <w:tab/>
        </w:r>
        <w:r w:rsidR="0042106D">
          <w:rPr>
            <w:webHidden/>
          </w:rPr>
          <w:fldChar w:fldCharType="begin"/>
        </w:r>
        <w:r w:rsidR="0042106D">
          <w:rPr>
            <w:webHidden/>
          </w:rPr>
          <w:instrText xml:space="preserve"> PAGEREF _Toc17155086 \h </w:instrText>
        </w:r>
        <w:r w:rsidR="0042106D">
          <w:rPr>
            <w:webHidden/>
          </w:rPr>
        </w:r>
        <w:r w:rsidR="0042106D">
          <w:rPr>
            <w:webHidden/>
          </w:rPr>
          <w:fldChar w:fldCharType="separate"/>
        </w:r>
        <w:r w:rsidR="00372623">
          <w:rPr>
            <w:webHidden/>
          </w:rPr>
          <w:t>13</w:t>
        </w:r>
        <w:r w:rsidR="0042106D">
          <w:rPr>
            <w:webHidden/>
          </w:rPr>
          <w:fldChar w:fldCharType="end"/>
        </w:r>
      </w:hyperlink>
    </w:p>
    <w:p w14:paraId="5DC954CE" w14:textId="7478D789" w:rsidR="0042106D" w:rsidRDefault="007B27CA">
      <w:pPr>
        <w:pStyle w:val="TOC3"/>
        <w:rPr>
          <w:rFonts w:asciiTheme="minorHAnsi" w:eastAsiaTheme="minorEastAsia" w:hAnsiTheme="minorHAnsi" w:cstheme="minorBidi"/>
          <w:sz w:val="22"/>
          <w:szCs w:val="22"/>
          <w:lang w:eastAsia="en-AU"/>
        </w:rPr>
      </w:pPr>
      <w:hyperlink w:anchor="_Toc17155087" w:history="1">
        <w:r w:rsidR="0042106D" w:rsidRPr="00F37888">
          <w:rPr>
            <w:rStyle w:val="Hyperlink"/>
          </w:rPr>
          <w:t>2. Prosecution review, supervision and certification of disclosure</w:t>
        </w:r>
        <w:r w:rsidR="0042106D">
          <w:rPr>
            <w:webHidden/>
          </w:rPr>
          <w:tab/>
        </w:r>
        <w:r w:rsidR="0042106D">
          <w:rPr>
            <w:webHidden/>
          </w:rPr>
          <w:fldChar w:fldCharType="begin"/>
        </w:r>
        <w:r w:rsidR="0042106D">
          <w:rPr>
            <w:webHidden/>
          </w:rPr>
          <w:instrText xml:space="preserve"> PAGEREF _Toc17155087 \h </w:instrText>
        </w:r>
        <w:r w:rsidR="0042106D">
          <w:rPr>
            <w:webHidden/>
          </w:rPr>
        </w:r>
        <w:r w:rsidR="0042106D">
          <w:rPr>
            <w:webHidden/>
          </w:rPr>
          <w:fldChar w:fldCharType="separate"/>
        </w:r>
        <w:r w:rsidR="00372623">
          <w:rPr>
            <w:webHidden/>
          </w:rPr>
          <w:t>14</w:t>
        </w:r>
        <w:r w:rsidR="0042106D">
          <w:rPr>
            <w:webHidden/>
          </w:rPr>
          <w:fldChar w:fldCharType="end"/>
        </w:r>
      </w:hyperlink>
    </w:p>
    <w:p w14:paraId="0FC754F4" w14:textId="7F3D5618" w:rsidR="0042106D" w:rsidRDefault="007B27CA">
      <w:pPr>
        <w:pStyle w:val="TOC3"/>
        <w:rPr>
          <w:rFonts w:asciiTheme="minorHAnsi" w:eastAsiaTheme="minorEastAsia" w:hAnsiTheme="minorHAnsi" w:cstheme="minorBidi"/>
          <w:sz w:val="22"/>
          <w:szCs w:val="22"/>
          <w:lang w:eastAsia="en-AU"/>
        </w:rPr>
      </w:pPr>
      <w:hyperlink w:anchor="_Toc17155088" w:history="1">
        <w:r w:rsidR="0042106D" w:rsidRPr="00F37888">
          <w:rPr>
            <w:rStyle w:val="Hyperlink"/>
          </w:rPr>
          <w:t>3. Early disclosure conferencing with all parties to improve communication and engagement</w:t>
        </w:r>
        <w:r w:rsidR="0042106D">
          <w:rPr>
            <w:webHidden/>
          </w:rPr>
          <w:tab/>
        </w:r>
        <w:r w:rsidR="0042106D">
          <w:rPr>
            <w:webHidden/>
          </w:rPr>
          <w:fldChar w:fldCharType="begin"/>
        </w:r>
        <w:r w:rsidR="0042106D">
          <w:rPr>
            <w:webHidden/>
          </w:rPr>
          <w:instrText xml:space="preserve"> PAGEREF _Toc17155088 \h </w:instrText>
        </w:r>
        <w:r w:rsidR="0042106D">
          <w:rPr>
            <w:webHidden/>
          </w:rPr>
        </w:r>
        <w:r w:rsidR="0042106D">
          <w:rPr>
            <w:webHidden/>
          </w:rPr>
          <w:fldChar w:fldCharType="separate"/>
        </w:r>
        <w:r w:rsidR="00372623">
          <w:rPr>
            <w:webHidden/>
          </w:rPr>
          <w:t>14</w:t>
        </w:r>
        <w:r w:rsidR="0042106D">
          <w:rPr>
            <w:webHidden/>
          </w:rPr>
          <w:fldChar w:fldCharType="end"/>
        </w:r>
      </w:hyperlink>
    </w:p>
    <w:p w14:paraId="6D12E09E" w14:textId="40CCC924" w:rsidR="0042106D" w:rsidRDefault="007B27CA">
      <w:pPr>
        <w:pStyle w:val="TOC3"/>
        <w:rPr>
          <w:rFonts w:asciiTheme="minorHAnsi" w:eastAsiaTheme="minorEastAsia" w:hAnsiTheme="minorHAnsi" w:cstheme="minorBidi"/>
          <w:sz w:val="22"/>
          <w:szCs w:val="22"/>
          <w:lang w:eastAsia="en-AU"/>
        </w:rPr>
      </w:pPr>
      <w:hyperlink w:anchor="_Toc17155089" w:history="1">
        <w:r w:rsidR="0042106D" w:rsidRPr="00F37888">
          <w:rPr>
            <w:rStyle w:val="Hyperlink"/>
          </w:rPr>
          <w:t>4. Conferencing and seniority of prosecutors</w:t>
        </w:r>
        <w:r w:rsidR="0042106D">
          <w:rPr>
            <w:webHidden/>
          </w:rPr>
          <w:tab/>
        </w:r>
        <w:r w:rsidR="0042106D">
          <w:rPr>
            <w:webHidden/>
          </w:rPr>
          <w:fldChar w:fldCharType="begin"/>
        </w:r>
        <w:r w:rsidR="0042106D">
          <w:rPr>
            <w:webHidden/>
          </w:rPr>
          <w:instrText xml:space="preserve"> PAGEREF _Toc17155089 \h </w:instrText>
        </w:r>
        <w:r w:rsidR="0042106D">
          <w:rPr>
            <w:webHidden/>
          </w:rPr>
        </w:r>
        <w:r w:rsidR="0042106D">
          <w:rPr>
            <w:webHidden/>
          </w:rPr>
          <w:fldChar w:fldCharType="separate"/>
        </w:r>
        <w:r w:rsidR="00372623">
          <w:rPr>
            <w:webHidden/>
          </w:rPr>
          <w:t>15</w:t>
        </w:r>
        <w:r w:rsidR="0042106D">
          <w:rPr>
            <w:webHidden/>
          </w:rPr>
          <w:fldChar w:fldCharType="end"/>
        </w:r>
      </w:hyperlink>
    </w:p>
    <w:p w14:paraId="083FEE49" w14:textId="2B0304C6" w:rsidR="0042106D" w:rsidRDefault="007B27CA">
      <w:pPr>
        <w:pStyle w:val="TOC3"/>
        <w:rPr>
          <w:rFonts w:asciiTheme="minorHAnsi" w:eastAsiaTheme="minorEastAsia" w:hAnsiTheme="minorHAnsi" w:cstheme="minorBidi"/>
          <w:sz w:val="22"/>
          <w:szCs w:val="22"/>
          <w:lang w:eastAsia="en-AU"/>
        </w:rPr>
      </w:pPr>
      <w:hyperlink w:anchor="_Toc17155090" w:history="1">
        <w:r w:rsidR="0042106D" w:rsidRPr="00F37888">
          <w:rPr>
            <w:rStyle w:val="Hyperlink"/>
          </w:rPr>
          <w:t>5. Filing Hearing directions and forensic analysis</w:t>
        </w:r>
        <w:r w:rsidR="0042106D">
          <w:rPr>
            <w:webHidden/>
          </w:rPr>
          <w:tab/>
        </w:r>
        <w:r w:rsidR="0042106D">
          <w:rPr>
            <w:webHidden/>
          </w:rPr>
          <w:fldChar w:fldCharType="begin"/>
        </w:r>
        <w:r w:rsidR="0042106D">
          <w:rPr>
            <w:webHidden/>
          </w:rPr>
          <w:instrText xml:space="preserve"> PAGEREF _Toc17155090 \h </w:instrText>
        </w:r>
        <w:r w:rsidR="0042106D">
          <w:rPr>
            <w:webHidden/>
          </w:rPr>
        </w:r>
        <w:r w:rsidR="0042106D">
          <w:rPr>
            <w:webHidden/>
          </w:rPr>
          <w:fldChar w:fldCharType="separate"/>
        </w:r>
        <w:r w:rsidR="00372623">
          <w:rPr>
            <w:webHidden/>
          </w:rPr>
          <w:t>17</w:t>
        </w:r>
        <w:r w:rsidR="0042106D">
          <w:rPr>
            <w:webHidden/>
          </w:rPr>
          <w:fldChar w:fldCharType="end"/>
        </w:r>
      </w:hyperlink>
    </w:p>
    <w:p w14:paraId="17A514C1" w14:textId="41C72D9B" w:rsidR="0042106D" w:rsidRDefault="007B27CA">
      <w:pPr>
        <w:pStyle w:val="TOC3"/>
        <w:rPr>
          <w:rFonts w:asciiTheme="minorHAnsi" w:eastAsiaTheme="minorEastAsia" w:hAnsiTheme="minorHAnsi" w:cstheme="minorBidi"/>
          <w:sz w:val="22"/>
          <w:szCs w:val="22"/>
          <w:lang w:eastAsia="en-AU"/>
        </w:rPr>
      </w:pPr>
      <w:hyperlink w:anchor="_Toc17155091" w:history="1">
        <w:r w:rsidR="0042106D" w:rsidRPr="00F37888">
          <w:rPr>
            <w:rStyle w:val="Hyperlink"/>
          </w:rPr>
          <w:t>6. Enforceable responses to lack of compliance with disclosure obligations</w:t>
        </w:r>
        <w:r w:rsidR="0042106D">
          <w:rPr>
            <w:webHidden/>
          </w:rPr>
          <w:tab/>
        </w:r>
        <w:r w:rsidR="0042106D">
          <w:rPr>
            <w:webHidden/>
          </w:rPr>
          <w:fldChar w:fldCharType="begin"/>
        </w:r>
        <w:r w:rsidR="0042106D">
          <w:rPr>
            <w:webHidden/>
          </w:rPr>
          <w:instrText xml:space="preserve"> PAGEREF _Toc17155091 \h </w:instrText>
        </w:r>
        <w:r w:rsidR="0042106D">
          <w:rPr>
            <w:webHidden/>
          </w:rPr>
        </w:r>
        <w:r w:rsidR="0042106D">
          <w:rPr>
            <w:webHidden/>
          </w:rPr>
          <w:fldChar w:fldCharType="separate"/>
        </w:r>
        <w:r w:rsidR="00372623">
          <w:rPr>
            <w:webHidden/>
          </w:rPr>
          <w:t>18</w:t>
        </w:r>
        <w:r w:rsidR="0042106D">
          <w:rPr>
            <w:webHidden/>
          </w:rPr>
          <w:fldChar w:fldCharType="end"/>
        </w:r>
      </w:hyperlink>
    </w:p>
    <w:p w14:paraId="3319E65D" w14:textId="150C3023" w:rsidR="0042106D" w:rsidRDefault="007B27CA">
      <w:pPr>
        <w:pStyle w:val="TOC1"/>
        <w:rPr>
          <w:rFonts w:asciiTheme="minorHAnsi" w:eastAsiaTheme="minorEastAsia" w:hAnsiTheme="minorHAnsi" w:cstheme="minorBidi"/>
          <w:b w:val="0"/>
          <w:noProof/>
          <w:sz w:val="22"/>
          <w:szCs w:val="22"/>
          <w:lang w:eastAsia="en-AU"/>
        </w:rPr>
      </w:pPr>
      <w:hyperlink w:anchor="_Toc17155092" w:history="1">
        <w:r w:rsidR="0042106D" w:rsidRPr="00F37888">
          <w:rPr>
            <w:rStyle w:val="Hyperlink"/>
            <w:noProof/>
          </w:rPr>
          <w:t>Question 5. To what extent do committal proceedings play a necessary role in ensuring proper and timely disclosure?</w:t>
        </w:r>
        <w:r w:rsidR="0042106D">
          <w:rPr>
            <w:noProof/>
            <w:webHidden/>
          </w:rPr>
          <w:tab/>
        </w:r>
        <w:r w:rsidR="0042106D">
          <w:rPr>
            <w:noProof/>
            <w:webHidden/>
          </w:rPr>
          <w:fldChar w:fldCharType="begin"/>
        </w:r>
        <w:r w:rsidR="0042106D">
          <w:rPr>
            <w:noProof/>
            <w:webHidden/>
          </w:rPr>
          <w:instrText xml:space="preserve"> PAGEREF _Toc17155092 \h </w:instrText>
        </w:r>
        <w:r w:rsidR="0042106D">
          <w:rPr>
            <w:noProof/>
            <w:webHidden/>
          </w:rPr>
        </w:r>
        <w:r w:rsidR="0042106D">
          <w:rPr>
            <w:noProof/>
            <w:webHidden/>
          </w:rPr>
          <w:fldChar w:fldCharType="separate"/>
        </w:r>
        <w:r w:rsidR="00372623">
          <w:rPr>
            <w:noProof/>
            <w:webHidden/>
          </w:rPr>
          <w:t>19</w:t>
        </w:r>
        <w:r w:rsidR="0042106D">
          <w:rPr>
            <w:noProof/>
            <w:webHidden/>
          </w:rPr>
          <w:fldChar w:fldCharType="end"/>
        </w:r>
      </w:hyperlink>
    </w:p>
    <w:p w14:paraId="03A744BF" w14:textId="72586E85" w:rsidR="0042106D" w:rsidRDefault="007B27CA">
      <w:pPr>
        <w:pStyle w:val="TOC3"/>
        <w:rPr>
          <w:rFonts w:asciiTheme="minorHAnsi" w:eastAsiaTheme="minorEastAsia" w:hAnsiTheme="minorHAnsi" w:cstheme="minorBidi"/>
          <w:sz w:val="22"/>
          <w:szCs w:val="22"/>
          <w:lang w:eastAsia="en-AU"/>
        </w:rPr>
      </w:pPr>
      <w:hyperlink w:anchor="_Toc17155093" w:history="1">
        <w:r w:rsidR="0042106D" w:rsidRPr="00F37888">
          <w:rPr>
            <w:rStyle w:val="Hyperlink"/>
          </w:rPr>
          <w:t>Victorian regional experience</w:t>
        </w:r>
        <w:r w:rsidR="0042106D">
          <w:rPr>
            <w:webHidden/>
          </w:rPr>
          <w:tab/>
        </w:r>
        <w:r w:rsidR="0042106D">
          <w:rPr>
            <w:webHidden/>
          </w:rPr>
          <w:fldChar w:fldCharType="begin"/>
        </w:r>
        <w:r w:rsidR="0042106D">
          <w:rPr>
            <w:webHidden/>
          </w:rPr>
          <w:instrText xml:space="preserve"> PAGEREF _Toc17155093 \h </w:instrText>
        </w:r>
        <w:r w:rsidR="0042106D">
          <w:rPr>
            <w:webHidden/>
          </w:rPr>
        </w:r>
        <w:r w:rsidR="0042106D">
          <w:rPr>
            <w:webHidden/>
          </w:rPr>
          <w:fldChar w:fldCharType="separate"/>
        </w:r>
        <w:r w:rsidR="00372623">
          <w:rPr>
            <w:webHidden/>
          </w:rPr>
          <w:t>19</w:t>
        </w:r>
        <w:r w:rsidR="0042106D">
          <w:rPr>
            <w:webHidden/>
          </w:rPr>
          <w:fldChar w:fldCharType="end"/>
        </w:r>
      </w:hyperlink>
    </w:p>
    <w:p w14:paraId="43050763" w14:textId="79AE2F7A" w:rsidR="0042106D" w:rsidRDefault="007B27CA">
      <w:pPr>
        <w:pStyle w:val="TOC3"/>
        <w:rPr>
          <w:rFonts w:asciiTheme="minorHAnsi" w:eastAsiaTheme="minorEastAsia" w:hAnsiTheme="minorHAnsi" w:cstheme="minorBidi"/>
          <w:sz w:val="22"/>
          <w:szCs w:val="22"/>
          <w:lang w:eastAsia="en-AU"/>
        </w:rPr>
      </w:pPr>
      <w:hyperlink w:anchor="_Toc17155094" w:history="1">
        <w:r w:rsidR="0042106D" w:rsidRPr="00F37888">
          <w:rPr>
            <w:rStyle w:val="Hyperlink"/>
          </w:rPr>
          <w:t>Interstate experience</w:t>
        </w:r>
        <w:r w:rsidR="0042106D">
          <w:rPr>
            <w:webHidden/>
          </w:rPr>
          <w:tab/>
        </w:r>
        <w:r w:rsidR="0042106D">
          <w:rPr>
            <w:webHidden/>
          </w:rPr>
          <w:fldChar w:fldCharType="begin"/>
        </w:r>
        <w:r w:rsidR="0042106D">
          <w:rPr>
            <w:webHidden/>
          </w:rPr>
          <w:instrText xml:space="preserve"> PAGEREF _Toc17155094 \h </w:instrText>
        </w:r>
        <w:r w:rsidR="0042106D">
          <w:rPr>
            <w:webHidden/>
          </w:rPr>
        </w:r>
        <w:r w:rsidR="0042106D">
          <w:rPr>
            <w:webHidden/>
          </w:rPr>
          <w:fldChar w:fldCharType="separate"/>
        </w:r>
        <w:r w:rsidR="00372623">
          <w:rPr>
            <w:webHidden/>
          </w:rPr>
          <w:t>20</w:t>
        </w:r>
        <w:r w:rsidR="0042106D">
          <w:rPr>
            <w:webHidden/>
          </w:rPr>
          <w:fldChar w:fldCharType="end"/>
        </w:r>
      </w:hyperlink>
    </w:p>
    <w:p w14:paraId="32F93D0E" w14:textId="4D509940" w:rsidR="0042106D" w:rsidRDefault="007B27CA">
      <w:pPr>
        <w:pStyle w:val="TOC1"/>
        <w:rPr>
          <w:rFonts w:asciiTheme="minorHAnsi" w:eastAsiaTheme="minorEastAsia" w:hAnsiTheme="minorHAnsi" w:cstheme="minorBidi"/>
          <w:b w:val="0"/>
          <w:noProof/>
          <w:sz w:val="22"/>
          <w:szCs w:val="22"/>
          <w:lang w:eastAsia="en-AU"/>
        </w:rPr>
      </w:pPr>
      <w:hyperlink w:anchor="_Toc17155095" w:history="1">
        <w:r w:rsidR="0042106D" w:rsidRPr="00F37888">
          <w:rPr>
            <w:rStyle w:val="Hyperlink"/>
            <w:noProof/>
          </w:rPr>
          <w:t>Question 6. Could appropriate and timely disclosure occur within a pre-trial procedure that does not include committal proceedings?</w:t>
        </w:r>
        <w:r w:rsidR="0042106D">
          <w:rPr>
            <w:noProof/>
            <w:webHidden/>
          </w:rPr>
          <w:tab/>
        </w:r>
        <w:r w:rsidR="0042106D">
          <w:rPr>
            <w:noProof/>
            <w:webHidden/>
          </w:rPr>
          <w:fldChar w:fldCharType="begin"/>
        </w:r>
        <w:r w:rsidR="0042106D">
          <w:rPr>
            <w:noProof/>
            <w:webHidden/>
          </w:rPr>
          <w:instrText xml:space="preserve"> PAGEREF _Toc17155095 \h </w:instrText>
        </w:r>
        <w:r w:rsidR="0042106D">
          <w:rPr>
            <w:noProof/>
            <w:webHidden/>
          </w:rPr>
        </w:r>
        <w:r w:rsidR="0042106D">
          <w:rPr>
            <w:noProof/>
            <w:webHidden/>
          </w:rPr>
          <w:fldChar w:fldCharType="separate"/>
        </w:r>
        <w:r w:rsidR="00372623">
          <w:rPr>
            <w:noProof/>
            <w:webHidden/>
          </w:rPr>
          <w:t>21</w:t>
        </w:r>
        <w:r w:rsidR="0042106D">
          <w:rPr>
            <w:noProof/>
            <w:webHidden/>
          </w:rPr>
          <w:fldChar w:fldCharType="end"/>
        </w:r>
      </w:hyperlink>
    </w:p>
    <w:p w14:paraId="1EA7FEA1" w14:textId="25E9731F" w:rsidR="0042106D" w:rsidRDefault="007B27CA">
      <w:pPr>
        <w:pStyle w:val="TOC1"/>
        <w:rPr>
          <w:rFonts w:asciiTheme="minorHAnsi" w:eastAsiaTheme="minorEastAsia" w:hAnsiTheme="minorHAnsi" w:cstheme="minorBidi"/>
          <w:b w:val="0"/>
          <w:noProof/>
          <w:sz w:val="22"/>
          <w:szCs w:val="22"/>
          <w:lang w:eastAsia="en-AU"/>
        </w:rPr>
      </w:pPr>
      <w:hyperlink w:anchor="_Toc17155096" w:history="1">
        <w:r w:rsidR="0042106D" w:rsidRPr="00F37888">
          <w:rPr>
            <w:rStyle w:val="Hyperlink"/>
            <w:noProof/>
          </w:rPr>
          <w:t>Question 7. To what extent, if at all, is the ability to cross-examine witnesses during a committal hearing necessary to ensuring adequate and timely disclosure of the prosecution case?</w:t>
        </w:r>
        <w:r w:rsidR="0042106D">
          <w:rPr>
            <w:noProof/>
            <w:webHidden/>
          </w:rPr>
          <w:tab/>
        </w:r>
        <w:r w:rsidR="0042106D">
          <w:rPr>
            <w:noProof/>
            <w:webHidden/>
          </w:rPr>
          <w:fldChar w:fldCharType="begin"/>
        </w:r>
        <w:r w:rsidR="0042106D">
          <w:rPr>
            <w:noProof/>
            <w:webHidden/>
          </w:rPr>
          <w:instrText xml:space="preserve"> PAGEREF _Toc17155096 \h </w:instrText>
        </w:r>
        <w:r w:rsidR="0042106D">
          <w:rPr>
            <w:noProof/>
            <w:webHidden/>
          </w:rPr>
        </w:r>
        <w:r w:rsidR="0042106D">
          <w:rPr>
            <w:noProof/>
            <w:webHidden/>
          </w:rPr>
          <w:fldChar w:fldCharType="separate"/>
        </w:r>
        <w:r w:rsidR="00372623">
          <w:rPr>
            <w:noProof/>
            <w:webHidden/>
          </w:rPr>
          <w:t>21</w:t>
        </w:r>
        <w:r w:rsidR="0042106D">
          <w:rPr>
            <w:noProof/>
            <w:webHidden/>
          </w:rPr>
          <w:fldChar w:fldCharType="end"/>
        </w:r>
      </w:hyperlink>
    </w:p>
    <w:p w14:paraId="2DE03756" w14:textId="70873282" w:rsidR="0042106D" w:rsidRDefault="007B27CA">
      <w:pPr>
        <w:pStyle w:val="TOC1"/>
        <w:rPr>
          <w:rFonts w:asciiTheme="minorHAnsi" w:eastAsiaTheme="minorEastAsia" w:hAnsiTheme="minorHAnsi" w:cstheme="minorBidi"/>
          <w:b w:val="0"/>
          <w:noProof/>
          <w:sz w:val="22"/>
          <w:szCs w:val="22"/>
          <w:lang w:eastAsia="en-AU"/>
        </w:rPr>
      </w:pPr>
      <w:hyperlink w:anchor="_Toc17155097" w:history="1">
        <w:r w:rsidR="0042106D" w:rsidRPr="00F37888">
          <w:rPr>
            <w:rStyle w:val="Hyperlink"/>
            <w:noProof/>
          </w:rPr>
          <w:t>Question 8. Should some or all of the existing pre-trial opportunities to cross-examine victims and witnesses be retained? If so why?</w:t>
        </w:r>
        <w:r w:rsidR="0042106D">
          <w:rPr>
            <w:noProof/>
            <w:webHidden/>
          </w:rPr>
          <w:tab/>
        </w:r>
        <w:r w:rsidR="0042106D">
          <w:rPr>
            <w:noProof/>
            <w:webHidden/>
          </w:rPr>
          <w:fldChar w:fldCharType="begin"/>
        </w:r>
        <w:r w:rsidR="0042106D">
          <w:rPr>
            <w:noProof/>
            <w:webHidden/>
          </w:rPr>
          <w:instrText xml:space="preserve"> PAGEREF _Toc17155097 \h </w:instrText>
        </w:r>
        <w:r w:rsidR="0042106D">
          <w:rPr>
            <w:noProof/>
            <w:webHidden/>
          </w:rPr>
        </w:r>
        <w:r w:rsidR="0042106D">
          <w:rPr>
            <w:noProof/>
            <w:webHidden/>
          </w:rPr>
          <w:fldChar w:fldCharType="separate"/>
        </w:r>
        <w:r w:rsidR="00372623">
          <w:rPr>
            <w:noProof/>
            <w:webHidden/>
          </w:rPr>
          <w:t>23</w:t>
        </w:r>
        <w:r w:rsidR="0042106D">
          <w:rPr>
            <w:noProof/>
            <w:webHidden/>
          </w:rPr>
          <w:fldChar w:fldCharType="end"/>
        </w:r>
      </w:hyperlink>
    </w:p>
    <w:p w14:paraId="0DB7B7B6" w14:textId="3E78F316" w:rsidR="0042106D" w:rsidRDefault="007B27CA">
      <w:pPr>
        <w:pStyle w:val="TOC3"/>
        <w:rPr>
          <w:rFonts w:asciiTheme="minorHAnsi" w:eastAsiaTheme="minorEastAsia" w:hAnsiTheme="minorHAnsi" w:cstheme="minorBidi"/>
          <w:sz w:val="22"/>
          <w:szCs w:val="22"/>
          <w:lang w:eastAsia="en-AU"/>
        </w:rPr>
      </w:pPr>
      <w:hyperlink w:anchor="_Toc17155098" w:history="1">
        <w:r w:rsidR="0042106D" w:rsidRPr="00F37888">
          <w:rPr>
            <w:rStyle w:val="Hyperlink"/>
          </w:rPr>
          <w:t>1. Role of committals in early resolution</w:t>
        </w:r>
        <w:r w:rsidR="0042106D">
          <w:rPr>
            <w:webHidden/>
          </w:rPr>
          <w:tab/>
        </w:r>
        <w:r w:rsidR="0042106D">
          <w:rPr>
            <w:webHidden/>
          </w:rPr>
          <w:fldChar w:fldCharType="begin"/>
        </w:r>
        <w:r w:rsidR="0042106D">
          <w:rPr>
            <w:webHidden/>
          </w:rPr>
          <w:instrText xml:space="preserve"> PAGEREF _Toc17155098 \h </w:instrText>
        </w:r>
        <w:r w:rsidR="0042106D">
          <w:rPr>
            <w:webHidden/>
          </w:rPr>
        </w:r>
        <w:r w:rsidR="0042106D">
          <w:rPr>
            <w:webHidden/>
          </w:rPr>
          <w:fldChar w:fldCharType="separate"/>
        </w:r>
        <w:r w:rsidR="00372623">
          <w:rPr>
            <w:webHidden/>
          </w:rPr>
          <w:t>24</w:t>
        </w:r>
        <w:r w:rsidR="0042106D">
          <w:rPr>
            <w:webHidden/>
          </w:rPr>
          <w:fldChar w:fldCharType="end"/>
        </w:r>
      </w:hyperlink>
    </w:p>
    <w:p w14:paraId="5C0F6FF2" w14:textId="7C250AB1" w:rsidR="0042106D" w:rsidRDefault="007B27CA">
      <w:pPr>
        <w:pStyle w:val="TOC3"/>
        <w:rPr>
          <w:rFonts w:asciiTheme="minorHAnsi" w:eastAsiaTheme="minorEastAsia" w:hAnsiTheme="minorHAnsi" w:cstheme="minorBidi"/>
          <w:sz w:val="22"/>
          <w:szCs w:val="22"/>
          <w:lang w:eastAsia="en-AU"/>
        </w:rPr>
      </w:pPr>
      <w:hyperlink w:anchor="_Toc17155099" w:history="1">
        <w:r w:rsidR="0042106D" w:rsidRPr="00F37888">
          <w:rPr>
            <w:rStyle w:val="Hyperlink"/>
          </w:rPr>
          <w:t>2. The committal process can be positive, and cross-examination can be well-managed to minimise distress</w:t>
        </w:r>
        <w:r w:rsidR="0042106D">
          <w:rPr>
            <w:webHidden/>
          </w:rPr>
          <w:tab/>
        </w:r>
        <w:r w:rsidR="0042106D">
          <w:rPr>
            <w:webHidden/>
          </w:rPr>
          <w:fldChar w:fldCharType="begin"/>
        </w:r>
        <w:r w:rsidR="0042106D">
          <w:rPr>
            <w:webHidden/>
          </w:rPr>
          <w:instrText xml:space="preserve"> PAGEREF _Toc17155099 \h </w:instrText>
        </w:r>
        <w:r w:rsidR="0042106D">
          <w:rPr>
            <w:webHidden/>
          </w:rPr>
        </w:r>
        <w:r w:rsidR="0042106D">
          <w:rPr>
            <w:webHidden/>
          </w:rPr>
          <w:fldChar w:fldCharType="separate"/>
        </w:r>
        <w:r w:rsidR="00372623">
          <w:rPr>
            <w:webHidden/>
          </w:rPr>
          <w:t>25</w:t>
        </w:r>
        <w:r w:rsidR="0042106D">
          <w:rPr>
            <w:webHidden/>
          </w:rPr>
          <w:fldChar w:fldCharType="end"/>
        </w:r>
      </w:hyperlink>
    </w:p>
    <w:p w14:paraId="574684E8" w14:textId="1E358A45" w:rsidR="0042106D" w:rsidRDefault="007B27CA">
      <w:pPr>
        <w:pStyle w:val="TOC3"/>
        <w:rPr>
          <w:rFonts w:asciiTheme="minorHAnsi" w:eastAsiaTheme="minorEastAsia" w:hAnsiTheme="minorHAnsi" w:cstheme="minorBidi"/>
          <w:sz w:val="22"/>
          <w:szCs w:val="22"/>
          <w:lang w:eastAsia="en-AU"/>
        </w:rPr>
      </w:pPr>
      <w:hyperlink w:anchor="_Toc17155100" w:history="1">
        <w:r w:rsidR="0042106D" w:rsidRPr="00F37888">
          <w:rPr>
            <w:rStyle w:val="Hyperlink"/>
          </w:rPr>
          <w:t>3. Supporting victims to tell their story at the committal stage</w:t>
        </w:r>
        <w:r w:rsidR="0042106D">
          <w:rPr>
            <w:webHidden/>
          </w:rPr>
          <w:tab/>
        </w:r>
        <w:r w:rsidR="0042106D">
          <w:rPr>
            <w:webHidden/>
          </w:rPr>
          <w:fldChar w:fldCharType="begin"/>
        </w:r>
        <w:r w:rsidR="0042106D">
          <w:rPr>
            <w:webHidden/>
          </w:rPr>
          <w:instrText xml:space="preserve"> PAGEREF _Toc17155100 \h </w:instrText>
        </w:r>
        <w:r w:rsidR="0042106D">
          <w:rPr>
            <w:webHidden/>
          </w:rPr>
        </w:r>
        <w:r w:rsidR="0042106D">
          <w:rPr>
            <w:webHidden/>
          </w:rPr>
          <w:fldChar w:fldCharType="separate"/>
        </w:r>
        <w:r w:rsidR="00372623">
          <w:rPr>
            <w:webHidden/>
          </w:rPr>
          <w:t>26</w:t>
        </w:r>
        <w:r w:rsidR="0042106D">
          <w:rPr>
            <w:webHidden/>
          </w:rPr>
          <w:fldChar w:fldCharType="end"/>
        </w:r>
      </w:hyperlink>
    </w:p>
    <w:p w14:paraId="4765AAFF" w14:textId="157424D0" w:rsidR="0042106D" w:rsidRDefault="007B27CA">
      <w:pPr>
        <w:pStyle w:val="TOC3"/>
        <w:rPr>
          <w:rFonts w:asciiTheme="minorHAnsi" w:eastAsiaTheme="minorEastAsia" w:hAnsiTheme="minorHAnsi" w:cstheme="minorBidi"/>
          <w:sz w:val="22"/>
          <w:szCs w:val="22"/>
          <w:lang w:eastAsia="en-AU"/>
        </w:rPr>
      </w:pPr>
      <w:hyperlink w:anchor="_Toc17155101" w:history="1">
        <w:r w:rsidR="0042106D" w:rsidRPr="00F37888">
          <w:rPr>
            <w:rStyle w:val="Hyperlink"/>
          </w:rPr>
          <w:t>4. Information and assistance provided to victims can improve their experience</w:t>
        </w:r>
        <w:r w:rsidR="0042106D">
          <w:rPr>
            <w:webHidden/>
          </w:rPr>
          <w:tab/>
        </w:r>
        <w:r w:rsidR="0042106D">
          <w:rPr>
            <w:webHidden/>
          </w:rPr>
          <w:fldChar w:fldCharType="begin"/>
        </w:r>
        <w:r w:rsidR="0042106D">
          <w:rPr>
            <w:webHidden/>
          </w:rPr>
          <w:instrText xml:space="preserve"> PAGEREF _Toc17155101 \h </w:instrText>
        </w:r>
        <w:r w:rsidR="0042106D">
          <w:rPr>
            <w:webHidden/>
          </w:rPr>
        </w:r>
        <w:r w:rsidR="0042106D">
          <w:rPr>
            <w:webHidden/>
          </w:rPr>
          <w:fldChar w:fldCharType="separate"/>
        </w:r>
        <w:r w:rsidR="00372623">
          <w:rPr>
            <w:webHidden/>
          </w:rPr>
          <w:t>27</w:t>
        </w:r>
        <w:r w:rsidR="0042106D">
          <w:rPr>
            <w:webHidden/>
          </w:rPr>
          <w:fldChar w:fldCharType="end"/>
        </w:r>
      </w:hyperlink>
    </w:p>
    <w:p w14:paraId="225DD600" w14:textId="7354D057" w:rsidR="0042106D" w:rsidRDefault="007B27CA">
      <w:pPr>
        <w:pStyle w:val="TOC1"/>
        <w:rPr>
          <w:rFonts w:asciiTheme="minorHAnsi" w:eastAsiaTheme="minorEastAsia" w:hAnsiTheme="minorHAnsi" w:cstheme="minorBidi"/>
          <w:b w:val="0"/>
          <w:noProof/>
          <w:sz w:val="22"/>
          <w:szCs w:val="22"/>
          <w:lang w:eastAsia="en-AU"/>
        </w:rPr>
      </w:pPr>
      <w:hyperlink w:anchor="_Toc17155102" w:history="1">
        <w:r w:rsidR="0042106D" w:rsidRPr="00F37888">
          <w:rPr>
            <w:rStyle w:val="Hyperlink"/>
            <w:noProof/>
          </w:rPr>
          <w:t>Question 9. Should cross-examination at a committal hearing be further restricted or abolished? If so, why?</w:t>
        </w:r>
        <w:r w:rsidR="0042106D">
          <w:rPr>
            <w:noProof/>
            <w:webHidden/>
          </w:rPr>
          <w:tab/>
        </w:r>
        <w:r w:rsidR="0042106D">
          <w:rPr>
            <w:noProof/>
            <w:webHidden/>
          </w:rPr>
          <w:fldChar w:fldCharType="begin"/>
        </w:r>
        <w:r w:rsidR="0042106D">
          <w:rPr>
            <w:noProof/>
            <w:webHidden/>
          </w:rPr>
          <w:instrText xml:space="preserve"> PAGEREF _Toc17155102 \h </w:instrText>
        </w:r>
        <w:r w:rsidR="0042106D">
          <w:rPr>
            <w:noProof/>
            <w:webHidden/>
          </w:rPr>
        </w:r>
        <w:r w:rsidR="0042106D">
          <w:rPr>
            <w:noProof/>
            <w:webHidden/>
          </w:rPr>
          <w:fldChar w:fldCharType="separate"/>
        </w:r>
        <w:r w:rsidR="00372623">
          <w:rPr>
            <w:noProof/>
            <w:webHidden/>
          </w:rPr>
          <w:t>28</w:t>
        </w:r>
        <w:r w:rsidR="0042106D">
          <w:rPr>
            <w:noProof/>
            <w:webHidden/>
          </w:rPr>
          <w:fldChar w:fldCharType="end"/>
        </w:r>
      </w:hyperlink>
    </w:p>
    <w:p w14:paraId="04E77DEB" w14:textId="2AF0999A" w:rsidR="0042106D" w:rsidRDefault="007B27CA">
      <w:pPr>
        <w:pStyle w:val="TOC3"/>
        <w:rPr>
          <w:rFonts w:asciiTheme="minorHAnsi" w:eastAsiaTheme="minorEastAsia" w:hAnsiTheme="minorHAnsi" w:cstheme="minorBidi"/>
          <w:sz w:val="22"/>
          <w:szCs w:val="22"/>
          <w:lang w:eastAsia="en-AU"/>
        </w:rPr>
      </w:pPr>
      <w:hyperlink w:anchor="_Toc17155103" w:history="1">
        <w:r w:rsidR="0042106D" w:rsidRPr="00F37888">
          <w:rPr>
            <w:rStyle w:val="Hyperlink"/>
          </w:rPr>
          <w:t>Test for granting leave to cross-examine</w:t>
        </w:r>
        <w:r w:rsidR="0042106D">
          <w:rPr>
            <w:webHidden/>
          </w:rPr>
          <w:tab/>
        </w:r>
        <w:r w:rsidR="0042106D">
          <w:rPr>
            <w:webHidden/>
          </w:rPr>
          <w:fldChar w:fldCharType="begin"/>
        </w:r>
        <w:r w:rsidR="0042106D">
          <w:rPr>
            <w:webHidden/>
          </w:rPr>
          <w:instrText xml:space="preserve"> PAGEREF _Toc17155103 \h </w:instrText>
        </w:r>
        <w:r w:rsidR="0042106D">
          <w:rPr>
            <w:webHidden/>
          </w:rPr>
        </w:r>
        <w:r w:rsidR="0042106D">
          <w:rPr>
            <w:webHidden/>
          </w:rPr>
          <w:fldChar w:fldCharType="separate"/>
        </w:r>
        <w:r w:rsidR="00372623">
          <w:rPr>
            <w:webHidden/>
          </w:rPr>
          <w:t>28</w:t>
        </w:r>
        <w:r w:rsidR="0042106D">
          <w:rPr>
            <w:webHidden/>
          </w:rPr>
          <w:fldChar w:fldCharType="end"/>
        </w:r>
      </w:hyperlink>
    </w:p>
    <w:p w14:paraId="3FD65186" w14:textId="4923E322" w:rsidR="0042106D" w:rsidRDefault="007B27CA">
      <w:pPr>
        <w:pStyle w:val="TOC3"/>
        <w:rPr>
          <w:rFonts w:asciiTheme="minorHAnsi" w:eastAsiaTheme="minorEastAsia" w:hAnsiTheme="minorHAnsi" w:cstheme="minorBidi"/>
          <w:sz w:val="22"/>
          <w:szCs w:val="22"/>
          <w:lang w:eastAsia="en-AU"/>
        </w:rPr>
      </w:pPr>
      <w:hyperlink w:anchor="_Toc17155104" w:history="1">
        <w:r w:rsidR="0042106D" w:rsidRPr="00F37888">
          <w:rPr>
            <w:rStyle w:val="Hyperlink"/>
          </w:rPr>
          <w:t>Existing restrictions and supporting mechanisms</w:t>
        </w:r>
        <w:r w:rsidR="0042106D">
          <w:rPr>
            <w:webHidden/>
          </w:rPr>
          <w:tab/>
        </w:r>
        <w:r w:rsidR="0042106D">
          <w:rPr>
            <w:webHidden/>
          </w:rPr>
          <w:fldChar w:fldCharType="begin"/>
        </w:r>
        <w:r w:rsidR="0042106D">
          <w:rPr>
            <w:webHidden/>
          </w:rPr>
          <w:instrText xml:space="preserve"> PAGEREF _Toc17155104 \h </w:instrText>
        </w:r>
        <w:r w:rsidR="0042106D">
          <w:rPr>
            <w:webHidden/>
          </w:rPr>
        </w:r>
        <w:r w:rsidR="0042106D">
          <w:rPr>
            <w:webHidden/>
          </w:rPr>
          <w:fldChar w:fldCharType="separate"/>
        </w:r>
        <w:r w:rsidR="00372623">
          <w:rPr>
            <w:webHidden/>
          </w:rPr>
          <w:t>29</w:t>
        </w:r>
        <w:r w:rsidR="0042106D">
          <w:rPr>
            <w:webHidden/>
          </w:rPr>
          <w:fldChar w:fldCharType="end"/>
        </w:r>
      </w:hyperlink>
    </w:p>
    <w:p w14:paraId="1C026184" w14:textId="64F87B12" w:rsidR="0042106D" w:rsidRDefault="007B27CA">
      <w:pPr>
        <w:pStyle w:val="TOC1"/>
        <w:rPr>
          <w:rFonts w:asciiTheme="minorHAnsi" w:eastAsiaTheme="minorEastAsia" w:hAnsiTheme="minorHAnsi" w:cstheme="minorBidi"/>
          <w:b w:val="0"/>
          <w:noProof/>
          <w:sz w:val="22"/>
          <w:szCs w:val="22"/>
          <w:lang w:eastAsia="en-AU"/>
        </w:rPr>
      </w:pPr>
      <w:hyperlink w:anchor="_Toc17155105" w:history="1">
        <w:r w:rsidR="0042106D" w:rsidRPr="00F37888">
          <w:rPr>
            <w:rStyle w:val="Hyperlink"/>
            <w:noProof/>
          </w:rPr>
          <w:t>Question 10. If cross-examination at a committal hearing is further restricted, how should this occur?</w:t>
        </w:r>
        <w:r w:rsidR="0042106D">
          <w:rPr>
            <w:noProof/>
            <w:webHidden/>
          </w:rPr>
          <w:tab/>
        </w:r>
        <w:r w:rsidR="0042106D">
          <w:rPr>
            <w:noProof/>
            <w:webHidden/>
          </w:rPr>
          <w:fldChar w:fldCharType="begin"/>
        </w:r>
        <w:r w:rsidR="0042106D">
          <w:rPr>
            <w:noProof/>
            <w:webHidden/>
          </w:rPr>
          <w:instrText xml:space="preserve"> PAGEREF _Toc17155105 \h </w:instrText>
        </w:r>
        <w:r w:rsidR="0042106D">
          <w:rPr>
            <w:noProof/>
            <w:webHidden/>
          </w:rPr>
        </w:r>
        <w:r w:rsidR="0042106D">
          <w:rPr>
            <w:noProof/>
            <w:webHidden/>
          </w:rPr>
          <w:fldChar w:fldCharType="separate"/>
        </w:r>
        <w:r w:rsidR="00372623">
          <w:rPr>
            <w:noProof/>
            <w:webHidden/>
          </w:rPr>
          <w:t>30</w:t>
        </w:r>
        <w:r w:rsidR="0042106D">
          <w:rPr>
            <w:noProof/>
            <w:webHidden/>
          </w:rPr>
          <w:fldChar w:fldCharType="end"/>
        </w:r>
      </w:hyperlink>
    </w:p>
    <w:p w14:paraId="2263C4A5" w14:textId="42789B70" w:rsidR="0042106D" w:rsidRDefault="007B27CA">
      <w:pPr>
        <w:pStyle w:val="TOC1"/>
        <w:rPr>
          <w:rFonts w:asciiTheme="minorHAnsi" w:eastAsiaTheme="minorEastAsia" w:hAnsiTheme="minorHAnsi" w:cstheme="minorBidi"/>
          <w:b w:val="0"/>
          <w:noProof/>
          <w:sz w:val="22"/>
          <w:szCs w:val="22"/>
          <w:lang w:eastAsia="en-AU"/>
        </w:rPr>
      </w:pPr>
      <w:hyperlink w:anchor="_Toc17155106" w:history="1">
        <w:r w:rsidR="0042106D" w:rsidRPr="00F37888">
          <w:rPr>
            <w:rStyle w:val="Hyperlink"/>
            <w:noProof/>
          </w:rPr>
          <w:t>Question 11. Are there any additional classes of victims or witnesses who should not be cross-examined pre-trial? If so who?</w:t>
        </w:r>
        <w:r w:rsidR="0042106D">
          <w:rPr>
            <w:noProof/>
            <w:webHidden/>
          </w:rPr>
          <w:tab/>
        </w:r>
        <w:r w:rsidR="0042106D">
          <w:rPr>
            <w:noProof/>
            <w:webHidden/>
          </w:rPr>
          <w:fldChar w:fldCharType="begin"/>
        </w:r>
        <w:r w:rsidR="0042106D">
          <w:rPr>
            <w:noProof/>
            <w:webHidden/>
          </w:rPr>
          <w:instrText xml:space="preserve"> PAGEREF _Toc17155106 \h </w:instrText>
        </w:r>
        <w:r w:rsidR="0042106D">
          <w:rPr>
            <w:noProof/>
            <w:webHidden/>
          </w:rPr>
        </w:r>
        <w:r w:rsidR="0042106D">
          <w:rPr>
            <w:noProof/>
            <w:webHidden/>
          </w:rPr>
          <w:fldChar w:fldCharType="separate"/>
        </w:r>
        <w:r w:rsidR="00372623">
          <w:rPr>
            <w:noProof/>
            <w:webHidden/>
          </w:rPr>
          <w:t>30</w:t>
        </w:r>
        <w:r w:rsidR="0042106D">
          <w:rPr>
            <w:noProof/>
            <w:webHidden/>
          </w:rPr>
          <w:fldChar w:fldCharType="end"/>
        </w:r>
      </w:hyperlink>
    </w:p>
    <w:p w14:paraId="687BB08D" w14:textId="3914D09B" w:rsidR="0042106D" w:rsidRDefault="007B27CA">
      <w:pPr>
        <w:pStyle w:val="TOC1"/>
        <w:rPr>
          <w:rFonts w:asciiTheme="minorHAnsi" w:eastAsiaTheme="minorEastAsia" w:hAnsiTheme="minorHAnsi" w:cstheme="minorBidi"/>
          <w:b w:val="0"/>
          <w:noProof/>
          <w:sz w:val="22"/>
          <w:szCs w:val="22"/>
          <w:lang w:eastAsia="en-AU"/>
        </w:rPr>
      </w:pPr>
      <w:hyperlink w:anchor="_Toc17155107" w:history="1">
        <w:r w:rsidR="0042106D" w:rsidRPr="00F37888">
          <w:rPr>
            <w:rStyle w:val="Hyperlink"/>
            <w:noProof/>
          </w:rPr>
          <w:t>Question 12. What additional measures could be introduced to reduce trauma for victims or other vulnerable witnesses when giving evidence or being cross-examined at a committal or other pre-trial hearing?</w:t>
        </w:r>
        <w:r w:rsidR="0042106D">
          <w:rPr>
            <w:noProof/>
            <w:webHidden/>
          </w:rPr>
          <w:tab/>
        </w:r>
        <w:r w:rsidR="0042106D">
          <w:rPr>
            <w:noProof/>
            <w:webHidden/>
          </w:rPr>
          <w:fldChar w:fldCharType="begin"/>
        </w:r>
        <w:r w:rsidR="0042106D">
          <w:rPr>
            <w:noProof/>
            <w:webHidden/>
          </w:rPr>
          <w:instrText xml:space="preserve"> PAGEREF _Toc17155107 \h </w:instrText>
        </w:r>
        <w:r w:rsidR="0042106D">
          <w:rPr>
            <w:noProof/>
            <w:webHidden/>
          </w:rPr>
        </w:r>
        <w:r w:rsidR="0042106D">
          <w:rPr>
            <w:noProof/>
            <w:webHidden/>
          </w:rPr>
          <w:fldChar w:fldCharType="separate"/>
        </w:r>
        <w:r w:rsidR="00372623">
          <w:rPr>
            <w:noProof/>
            <w:webHidden/>
          </w:rPr>
          <w:t>31</w:t>
        </w:r>
        <w:r w:rsidR="0042106D">
          <w:rPr>
            <w:noProof/>
            <w:webHidden/>
          </w:rPr>
          <w:fldChar w:fldCharType="end"/>
        </w:r>
      </w:hyperlink>
    </w:p>
    <w:p w14:paraId="6C30FD6B" w14:textId="310FF759" w:rsidR="0042106D" w:rsidRDefault="007B27CA">
      <w:pPr>
        <w:pStyle w:val="TOC1"/>
        <w:rPr>
          <w:rFonts w:asciiTheme="minorHAnsi" w:eastAsiaTheme="minorEastAsia" w:hAnsiTheme="minorHAnsi" w:cstheme="minorBidi"/>
          <w:b w:val="0"/>
          <w:noProof/>
          <w:sz w:val="22"/>
          <w:szCs w:val="22"/>
          <w:lang w:eastAsia="en-AU"/>
        </w:rPr>
      </w:pPr>
      <w:hyperlink w:anchor="_Toc17155108" w:history="1">
        <w:r w:rsidR="0042106D" w:rsidRPr="00F37888">
          <w:rPr>
            <w:rStyle w:val="Hyperlink"/>
            <w:noProof/>
          </w:rPr>
          <w:t>Question 13. Should the current test for committal be retained?</w:t>
        </w:r>
        <w:r w:rsidR="0042106D">
          <w:rPr>
            <w:noProof/>
            <w:webHidden/>
          </w:rPr>
          <w:tab/>
        </w:r>
        <w:r w:rsidR="0042106D">
          <w:rPr>
            <w:noProof/>
            <w:webHidden/>
          </w:rPr>
          <w:fldChar w:fldCharType="begin"/>
        </w:r>
        <w:r w:rsidR="0042106D">
          <w:rPr>
            <w:noProof/>
            <w:webHidden/>
          </w:rPr>
          <w:instrText xml:space="preserve"> PAGEREF _Toc17155108 \h </w:instrText>
        </w:r>
        <w:r w:rsidR="0042106D">
          <w:rPr>
            <w:noProof/>
            <w:webHidden/>
          </w:rPr>
        </w:r>
        <w:r w:rsidR="0042106D">
          <w:rPr>
            <w:noProof/>
            <w:webHidden/>
          </w:rPr>
          <w:fldChar w:fldCharType="separate"/>
        </w:r>
        <w:r w:rsidR="00372623">
          <w:rPr>
            <w:noProof/>
            <w:webHidden/>
          </w:rPr>
          <w:t>32</w:t>
        </w:r>
        <w:r w:rsidR="0042106D">
          <w:rPr>
            <w:noProof/>
            <w:webHidden/>
          </w:rPr>
          <w:fldChar w:fldCharType="end"/>
        </w:r>
      </w:hyperlink>
    </w:p>
    <w:p w14:paraId="2E76D6CD" w14:textId="6DEE506A" w:rsidR="0042106D" w:rsidRDefault="007B27CA">
      <w:pPr>
        <w:pStyle w:val="TOC1"/>
        <w:rPr>
          <w:rFonts w:asciiTheme="minorHAnsi" w:eastAsiaTheme="minorEastAsia" w:hAnsiTheme="minorHAnsi" w:cstheme="minorBidi"/>
          <w:b w:val="0"/>
          <w:noProof/>
          <w:sz w:val="22"/>
          <w:szCs w:val="22"/>
          <w:lang w:eastAsia="en-AU"/>
        </w:rPr>
      </w:pPr>
      <w:hyperlink w:anchor="_Toc17155109" w:history="1">
        <w:r w:rsidR="0042106D" w:rsidRPr="00F37888">
          <w:rPr>
            <w:rStyle w:val="Hyperlink"/>
            <w:noProof/>
          </w:rPr>
          <w:t>Question 14. Having regard to the DPP’s power to indict directly, is there a need for a test for committal?</w:t>
        </w:r>
        <w:r w:rsidR="0042106D">
          <w:rPr>
            <w:noProof/>
            <w:webHidden/>
          </w:rPr>
          <w:tab/>
        </w:r>
        <w:r w:rsidR="0042106D">
          <w:rPr>
            <w:noProof/>
            <w:webHidden/>
          </w:rPr>
          <w:fldChar w:fldCharType="begin"/>
        </w:r>
        <w:r w:rsidR="0042106D">
          <w:rPr>
            <w:noProof/>
            <w:webHidden/>
          </w:rPr>
          <w:instrText xml:space="preserve"> PAGEREF _Toc17155109 \h </w:instrText>
        </w:r>
        <w:r w:rsidR="0042106D">
          <w:rPr>
            <w:noProof/>
            <w:webHidden/>
          </w:rPr>
        </w:r>
        <w:r w:rsidR="0042106D">
          <w:rPr>
            <w:noProof/>
            <w:webHidden/>
          </w:rPr>
          <w:fldChar w:fldCharType="separate"/>
        </w:r>
        <w:r w:rsidR="00372623">
          <w:rPr>
            <w:noProof/>
            <w:webHidden/>
          </w:rPr>
          <w:t>32</w:t>
        </w:r>
        <w:r w:rsidR="0042106D">
          <w:rPr>
            <w:noProof/>
            <w:webHidden/>
          </w:rPr>
          <w:fldChar w:fldCharType="end"/>
        </w:r>
      </w:hyperlink>
    </w:p>
    <w:p w14:paraId="201B43BA" w14:textId="2C1D675F" w:rsidR="0042106D" w:rsidRDefault="007B27CA">
      <w:pPr>
        <w:pStyle w:val="TOC1"/>
        <w:rPr>
          <w:rFonts w:asciiTheme="minorHAnsi" w:eastAsiaTheme="minorEastAsia" w:hAnsiTheme="minorHAnsi" w:cstheme="minorBidi"/>
          <w:b w:val="0"/>
          <w:noProof/>
          <w:sz w:val="22"/>
          <w:szCs w:val="22"/>
          <w:lang w:eastAsia="en-AU"/>
        </w:rPr>
      </w:pPr>
      <w:hyperlink w:anchor="_Toc17155110" w:history="1">
        <w:r w:rsidR="0042106D" w:rsidRPr="00F37888">
          <w:rPr>
            <w:rStyle w:val="Hyperlink"/>
            <w:noProof/>
          </w:rPr>
          <w:t>Question 15. Is there an appropriate alternative process for committing an accused person to stand trial?</w:t>
        </w:r>
        <w:r w:rsidR="0042106D">
          <w:rPr>
            <w:noProof/>
            <w:webHidden/>
          </w:rPr>
          <w:tab/>
        </w:r>
        <w:r w:rsidR="0042106D">
          <w:rPr>
            <w:noProof/>
            <w:webHidden/>
          </w:rPr>
          <w:fldChar w:fldCharType="begin"/>
        </w:r>
        <w:r w:rsidR="0042106D">
          <w:rPr>
            <w:noProof/>
            <w:webHidden/>
          </w:rPr>
          <w:instrText xml:space="preserve"> PAGEREF _Toc17155110 \h </w:instrText>
        </w:r>
        <w:r w:rsidR="0042106D">
          <w:rPr>
            <w:noProof/>
            <w:webHidden/>
          </w:rPr>
        </w:r>
        <w:r w:rsidR="0042106D">
          <w:rPr>
            <w:noProof/>
            <w:webHidden/>
          </w:rPr>
          <w:fldChar w:fldCharType="separate"/>
        </w:r>
        <w:r w:rsidR="00372623">
          <w:rPr>
            <w:noProof/>
            <w:webHidden/>
          </w:rPr>
          <w:t>33</w:t>
        </w:r>
        <w:r w:rsidR="0042106D">
          <w:rPr>
            <w:noProof/>
            <w:webHidden/>
          </w:rPr>
          <w:fldChar w:fldCharType="end"/>
        </w:r>
      </w:hyperlink>
    </w:p>
    <w:p w14:paraId="5101F476" w14:textId="2670B83F" w:rsidR="0042106D" w:rsidRDefault="007B27CA">
      <w:pPr>
        <w:pStyle w:val="TOC1"/>
        <w:rPr>
          <w:rFonts w:asciiTheme="minorHAnsi" w:eastAsiaTheme="minorEastAsia" w:hAnsiTheme="minorHAnsi" w:cstheme="minorBidi"/>
          <w:b w:val="0"/>
          <w:noProof/>
          <w:sz w:val="22"/>
          <w:szCs w:val="22"/>
          <w:lang w:eastAsia="en-AU"/>
        </w:rPr>
      </w:pPr>
      <w:hyperlink w:anchor="_Toc17155111" w:history="1">
        <w:r w:rsidR="0042106D" w:rsidRPr="00F37888">
          <w:rPr>
            <w:rStyle w:val="Hyperlink"/>
            <w:noProof/>
          </w:rPr>
          <w:t>Question 16. How effectively do committal proceedings ensure: a) appropriate early resolution of cases; b) efficient use of court time; c) parties are adequately prepared for trial?</w:t>
        </w:r>
        <w:r w:rsidR="0042106D">
          <w:rPr>
            <w:noProof/>
            <w:webHidden/>
          </w:rPr>
          <w:tab/>
        </w:r>
        <w:r w:rsidR="0042106D">
          <w:rPr>
            <w:noProof/>
            <w:webHidden/>
          </w:rPr>
          <w:fldChar w:fldCharType="begin"/>
        </w:r>
        <w:r w:rsidR="0042106D">
          <w:rPr>
            <w:noProof/>
            <w:webHidden/>
          </w:rPr>
          <w:instrText xml:space="preserve"> PAGEREF _Toc17155111 \h </w:instrText>
        </w:r>
        <w:r w:rsidR="0042106D">
          <w:rPr>
            <w:noProof/>
            <w:webHidden/>
          </w:rPr>
        </w:r>
        <w:r w:rsidR="0042106D">
          <w:rPr>
            <w:noProof/>
            <w:webHidden/>
          </w:rPr>
          <w:fldChar w:fldCharType="separate"/>
        </w:r>
        <w:r w:rsidR="00372623">
          <w:rPr>
            <w:noProof/>
            <w:webHidden/>
          </w:rPr>
          <w:t>34</w:t>
        </w:r>
        <w:r w:rsidR="0042106D">
          <w:rPr>
            <w:noProof/>
            <w:webHidden/>
          </w:rPr>
          <w:fldChar w:fldCharType="end"/>
        </w:r>
      </w:hyperlink>
    </w:p>
    <w:p w14:paraId="530C2E0E" w14:textId="6B5D3BDE" w:rsidR="0042106D" w:rsidRDefault="007B27CA">
      <w:pPr>
        <w:pStyle w:val="TOC3"/>
        <w:rPr>
          <w:rFonts w:asciiTheme="minorHAnsi" w:eastAsiaTheme="minorEastAsia" w:hAnsiTheme="minorHAnsi" w:cstheme="minorBidi"/>
          <w:sz w:val="22"/>
          <w:szCs w:val="22"/>
          <w:lang w:eastAsia="en-AU"/>
        </w:rPr>
      </w:pPr>
      <w:hyperlink w:anchor="_Toc17155112" w:history="1">
        <w:r w:rsidR="0042106D" w:rsidRPr="00F37888">
          <w:rPr>
            <w:rStyle w:val="Hyperlink"/>
          </w:rPr>
          <w:t>Appropriate early resolution and narrowing of trial issues</w:t>
        </w:r>
        <w:r w:rsidR="0042106D">
          <w:rPr>
            <w:webHidden/>
          </w:rPr>
          <w:tab/>
        </w:r>
        <w:r w:rsidR="0042106D">
          <w:rPr>
            <w:webHidden/>
          </w:rPr>
          <w:fldChar w:fldCharType="begin"/>
        </w:r>
        <w:r w:rsidR="0042106D">
          <w:rPr>
            <w:webHidden/>
          </w:rPr>
          <w:instrText xml:space="preserve"> PAGEREF _Toc17155112 \h </w:instrText>
        </w:r>
        <w:r w:rsidR="0042106D">
          <w:rPr>
            <w:webHidden/>
          </w:rPr>
        </w:r>
        <w:r w:rsidR="0042106D">
          <w:rPr>
            <w:webHidden/>
          </w:rPr>
          <w:fldChar w:fldCharType="separate"/>
        </w:r>
        <w:r w:rsidR="00372623">
          <w:rPr>
            <w:webHidden/>
          </w:rPr>
          <w:t>34</w:t>
        </w:r>
        <w:r w:rsidR="0042106D">
          <w:rPr>
            <w:webHidden/>
          </w:rPr>
          <w:fldChar w:fldCharType="end"/>
        </w:r>
      </w:hyperlink>
    </w:p>
    <w:p w14:paraId="154FAB1A" w14:textId="7B446D10" w:rsidR="0042106D" w:rsidRDefault="007B27CA">
      <w:pPr>
        <w:pStyle w:val="TOC3"/>
        <w:rPr>
          <w:rFonts w:asciiTheme="minorHAnsi" w:eastAsiaTheme="minorEastAsia" w:hAnsiTheme="minorHAnsi" w:cstheme="minorBidi"/>
          <w:sz w:val="22"/>
          <w:szCs w:val="22"/>
          <w:lang w:eastAsia="en-AU"/>
        </w:rPr>
      </w:pPr>
      <w:hyperlink w:anchor="_Toc17155113" w:history="1">
        <w:r w:rsidR="0042106D" w:rsidRPr="00F37888">
          <w:rPr>
            <w:rStyle w:val="Hyperlink"/>
          </w:rPr>
          <w:t>Efficient use of court time</w:t>
        </w:r>
        <w:r w:rsidR="0042106D">
          <w:rPr>
            <w:webHidden/>
          </w:rPr>
          <w:tab/>
        </w:r>
        <w:r w:rsidR="0042106D">
          <w:rPr>
            <w:webHidden/>
          </w:rPr>
          <w:fldChar w:fldCharType="begin"/>
        </w:r>
        <w:r w:rsidR="0042106D">
          <w:rPr>
            <w:webHidden/>
          </w:rPr>
          <w:instrText xml:space="preserve"> PAGEREF _Toc17155113 \h </w:instrText>
        </w:r>
        <w:r w:rsidR="0042106D">
          <w:rPr>
            <w:webHidden/>
          </w:rPr>
        </w:r>
        <w:r w:rsidR="0042106D">
          <w:rPr>
            <w:webHidden/>
          </w:rPr>
          <w:fldChar w:fldCharType="separate"/>
        </w:r>
        <w:r w:rsidR="00372623">
          <w:rPr>
            <w:webHidden/>
          </w:rPr>
          <w:t>35</w:t>
        </w:r>
        <w:r w:rsidR="0042106D">
          <w:rPr>
            <w:webHidden/>
          </w:rPr>
          <w:fldChar w:fldCharType="end"/>
        </w:r>
      </w:hyperlink>
    </w:p>
    <w:p w14:paraId="2C63BA05" w14:textId="5AE4B837" w:rsidR="0042106D" w:rsidRDefault="007B27CA">
      <w:pPr>
        <w:pStyle w:val="TOC3"/>
        <w:rPr>
          <w:rFonts w:asciiTheme="minorHAnsi" w:eastAsiaTheme="minorEastAsia" w:hAnsiTheme="minorHAnsi" w:cstheme="minorBidi"/>
          <w:sz w:val="22"/>
          <w:szCs w:val="22"/>
          <w:lang w:eastAsia="en-AU"/>
        </w:rPr>
      </w:pPr>
      <w:hyperlink w:anchor="_Toc17155114" w:history="1">
        <w:r w:rsidR="0042106D" w:rsidRPr="00F37888">
          <w:rPr>
            <w:rStyle w:val="Hyperlink"/>
            <w:lang w:val="en-US"/>
          </w:rPr>
          <w:t>Preparation for trial</w:t>
        </w:r>
        <w:r w:rsidR="0042106D">
          <w:rPr>
            <w:webHidden/>
          </w:rPr>
          <w:tab/>
        </w:r>
        <w:r w:rsidR="0042106D">
          <w:rPr>
            <w:webHidden/>
          </w:rPr>
          <w:fldChar w:fldCharType="begin"/>
        </w:r>
        <w:r w:rsidR="0042106D">
          <w:rPr>
            <w:webHidden/>
          </w:rPr>
          <w:instrText xml:space="preserve"> PAGEREF _Toc17155114 \h </w:instrText>
        </w:r>
        <w:r w:rsidR="0042106D">
          <w:rPr>
            <w:webHidden/>
          </w:rPr>
        </w:r>
        <w:r w:rsidR="0042106D">
          <w:rPr>
            <w:webHidden/>
          </w:rPr>
          <w:fldChar w:fldCharType="separate"/>
        </w:r>
        <w:r w:rsidR="00372623">
          <w:rPr>
            <w:webHidden/>
          </w:rPr>
          <w:t>38</w:t>
        </w:r>
        <w:r w:rsidR="0042106D">
          <w:rPr>
            <w:webHidden/>
          </w:rPr>
          <w:fldChar w:fldCharType="end"/>
        </w:r>
      </w:hyperlink>
    </w:p>
    <w:p w14:paraId="08E426CA" w14:textId="1425030B" w:rsidR="0042106D" w:rsidRDefault="007B27CA">
      <w:pPr>
        <w:pStyle w:val="TOC1"/>
        <w:rPr>
          <w:rFonts w:asciiTheme="minorHAnsi" w:eastAsiaTheme="minorEastAsia" w:hAnsiTheme="minorHAnsi" w:cstheme="minorBidi"/>
          <w:b w:val="0"/>
          <w:noProof/>
          <w:sz w:val="22"/>
          <w:szCs w:val="22"/>
          <w:lang w:eastAsia="en-AU"/>
        </w:rPr>
      </w:pPr>
      <w:hyperlink w:anchor="_Toc17155115" w:history="1">
        <w:r w:rsidR="0042106D" w:rsidRPr="00F37888">
          <w:rPr>
            <w:rStyle w:val="Hyperlink"/>
            <w:noProof/>
          </w:rPr>
          <w:t>Question 17. Are there other pre-trial procedures that could equally or more effectively ensure: a) appropriate early resolution of cases; b) efficient use of court time; c) parties are adequately prepared for trial?</w:t>
        </w:r>
        <w:r w:rsidR="0042106D">
          <w:rPr>
            <w:noProof/>
            <w:webHidden/>
          </w:rPr>
          <w:tab/>
        </w:r>
        <w:r w:rsidR="0042106D">
          <w:rPr>
            <w:noProof/>
            <w:webHidden/>
          </w:rPr>
          <w:fldChar w:fldCharType="begin"/>
        </w:r>
        <w:r w:rsidR="0042106D">
          <w:rPr>
            <w:noProof/>
            <w:webHidden/>
          </w:rPr>
          <w:instrText xml:space="preserve"> PAGEREF _Toc17155115 \h </w:instrText>
        </w:r>
        <w:r w:rsidR="0042106D">
          <w:rPr>
            <w:noProof/>
            <w:webHidden/>
          </w:rPr>
        </w:r>
        <w:r w:rsidR="0042106D">
          <w:rPr>
            <w:noProof/>
            <w:webHidden/>
          </w:rPr>
          <w:fldChar w:fldCharType="separate"/>
        </w:r>
        <w:r w:rsidR="00372623">
          <w:rPr>
            <w:noProof/>
            <w:webHidden/>
          </w:rPr>
          <w:t>38</w:t>
        </w:r>
        <w:r w:rsidR="0042106D">
          <w:rPr>
            <w:noProof/>
            <w:webHidden/>
          </w:rPr>
          <w:fldChar w:fldCharType="end"/>
        </w:r>
      </w:hyperlink>
    </w:p>
    <w:p w14:paraId="33B0C61C" w14:textId="7208412B" w:rsidR="0042106D" w:rsidRDefault="007B27CA">
      <w:pPr>
        <w:pStyle w:val="TOC1"/>
        <w:rPr>
          <w:rFonts w:asciiTheme="minorHAnsi" w:eastAsiaTheme="minorEastAsia" w:hAnsiTheme="minorHAnsi" w:cstheme="minorBidi"/>
          <w:b w:val="0"/>
          <w:noProof/>
          <w:sz w:val="22"/>
          <w:szCs w:val="22"/>
          <w:lang w:eastAsia="en-AU"/>
        </w:rPr>
      </w:pPr>
      <w:hyperlink w:anchor="_Toc17155116" w:history="1">
        <w:r w:rsidR="0042106D" w:rsidRPr="00F37888">
          <w:rPr>
            <w:rStyle w:val="Hyperlink"/>
            <w:noProof/>
          </w:rPr>
          <w:t>Question 18. How should concerns that committal proceedings contribute to inappropriate delay be addressed?</w:t>
        </w:r>
        <w:r w:rsidR="0042106D">
          <w:rPr>
            <w:noProof/>
            <w:webHidden/>
          </w:rPr>
          <w:tab/>
        </w:r>
        <w:r w:rsidR="0042106D">
          <w:rPr>
            <w:noProof/>
            <w:webHidden/>
          </w:rPr>
          <w:fldChar w:fldCharType="begin"/>
        </w:r>
        <w:r w:rsidR="0042106D">
          <w:rPr>
            <w:noProof/>
            <w:webHidden/>
          </w:rPr>
          <w:instrText xml:space="preserve"> PAGEREF _Toc17155116 \h </w:instrText>
        </w:r>
        <w:r w:rsidR="0042106D">
          <w:rPr>
            <w:noProof/>
            <w:webHidden/>
          </w:rPr>
        </w:r>
        <w:r w:rsidR="0042106D">
          <w:rPr>
            <w:noProof/>
            <w:webHidden/>
          </w:rPr>
          <w:fldChar w:fldCharType="separate"/>
        </w:r>
        <w:r w:rsidR="00372623">
          <w:rPr>
            <w:noProof/>
            <w:webHidden/>
          </w:rPr>
          <w:t>40</w:t>
        </w:r>
        <w:r w:rsidR="0042106D">
          <w:rPr>
            <w:noProof/>
            <w:webHidden/>
          </w:rPr>
          <w:fldChar w:fldCharType="end"/>
        </w:r>
      </w:hyperlink>
    </w:p>
    <w:p w14:paraId="1FACF8E4" w14:textId="732FC9C2" w:rsidR="0042106D" w:rsidRDefault="007B27CA">
      <w:pPr>
        <w:pStyle w:val="TOC1"/>
        <w:rPr>
          <w:rFonts w:asciiTheme="minorHAnsi" w:eastAsiaTheme="minorEastAsia" w:hAnsiTheme="minorHAnsi" w:cstheme="minorBidi"/>
          <w:b w:val="0"/>
          <w:noProof/>
          <w:sz w:val="22"/>
          <w:szCs w:val="22"/>
          <w:lang w:eastAsia="en-AU"/>
        </w:rPr>
      </w:pPr>
      <w:hyperlink w:anchor="_Toc17155117" w:history="1">
        <w:r w:rsidR="0042106D" w:rsidRPr="00F37888">
          <w:rPr>
            <w:rStyle w:val="Hyperlink"/>
            <w:rFonts w:eastAsia="Arial"/>
            <w:noProof/>
          </w:rPr>
          <w:t>Question 19. How should concerns that other pre-trial processes contribute</w:t>
        </w:r>
        <w:r w:rsidR="0042106D" w:rsidRPr="00F37888">
          <w:rPr>
            <w:rStyle w:val="Hyperlink"/>
            <w:noProof/>
          </w:rPr>
          <w:t xml:space="preserve"> to inappropriate delay be addressed?</w:t>
        </w:r>
        <w:r w:rsidR="0042106D">
          <w:rPr>
            <w:noProof/>
            <w:webHidden/>
          </w:rPr>
          <w:tab/>
        </w:r>
        <w:r w:rsidR="0042106D">
          <w:rPr>
            <w:noProof/>
            <w:webHidden/>
          </w:rPr>
          <w:fldChar w:fldCharType="begin"/>
        </w:r>
        <w:r w:rsidR="0042106D">
          <w:rPr>
            <w:noProof/>
            <w:webHidden/>
          </w:rPr>
          <w:instrText xml:space="preserve"> PAGEREF _Toc17155117 \h </w:instrText>
        </w:r>
        <w:r w:rsidR="0042106D">
          <w:rPr>
            <w:noProof/>
            <w:webHidden/>
          </w:rPr>
        </w:r>
        <w:r w:rsidR="0042106D">
          <w:rPr>
            <w:noProof/>
            <w:webHidden/>
          </w:rPr>
          <w:fldChar w:fldCharType="separate"/>
        </w:r>
        <w:r w:rsidR="00372623">
          <w:rPr>
            <w:noProof/>
            <w:webHidden/>
          </w:rPr>
          <w:t>41</w:t>
        </w:r>
        <w:r w:rsidR="0042106D">
          <w:rPr>
            <w:noProof/>
            <w:webHidden/>
          </w:rPr>
          <w:fldChar w:fldCharType="end"/>
        </w:r>
      </w:hyperlink>
    </w:p>
    <w:p w14:paraId="49D4F8B4" w14:textId="66CEA257" w:rsidR="0042106D" w:rsidRDefault="007B27CA">
      <w:pPr>
        <w:pStyle w:val="TOC1"/>
        <w:rPr>
          <w:rFonts w:asciiTheme="minorHAnsi" w:eastAsiaTheme="minorEastAsia" w:hAnsiTheme="minorHAnsi" w:cstheme="minorBidi"/>
          <w:b w:val="0"/>
          <w:noProof/>
          <w:sz w:val="22"/>
          <w:szCs w:val="22"/>
          <w:lang w:eastAsia="en-AU"/>
        </w:rPr>
      </w:pPr>
      <w:hyperlink w:anchor="_Toc17155118" w:history="1">
        <w:r w:rsidR="0042106D" w:rsidRPr="00F37888">
          <w:rPr>
            <w:rStyle w:val="Hyperlink"/>
            <w:noProof/>
          </w:rPr>
          <w:t>Question 20. Do committal proceedings contribute to inappropriate delay in the Children's Court?</w:t>
        </w:r>
        <w:r w:rsidR="0042106D">
          <w:rPr>
            <w:noProof/>
            <w:webHidden/>
          </w:rPr>
          <w:tab/>
        </w:r>
        <w:r w:rsidR="0042106D">
          <w:rPr>
            <w:noProof/>
            <w:webHidden/>
          </w:rPr>
          <w:fldChar w:fldCharType="begin"/>
        </w:r>
        <w:r w:rsidR="0042106D">
          <w:rPr>
            <w:noProof/>
            <w:webHidden/>
          </w:rPr>
          <w:instrText xml:space="preserve"> PAGEREF _Toc17155118 \h </w:instrText>
        </w:r>
        <w:r w:rsidR="0042106D">
          <w:rPr>
            <w:noProof/>
            <w:webHidden/>
          </w:rPr>
        </w:r>
        <w:r w:rsidR="0042106D">
          <w:rPr>
            <w:noProof/>
            <w:webHidden/>
          </w:rPr>
          <w:fldChar w:fldCharType="separate"/>
        </w:r>
        <w:r w:rsidR="00372623">
          <w:rPr>
            <w:noProof/>
            <w:webHidden/>
          </w:rPr>
          <w:t>41</w:t>
        </w:r>
        <w:r w:rsidR="0042106D">
          <w:rPr>
            <w:noProof/>
            <w:webHidden/>
          </w:rPr>
          <w:fldChar w:fldCharType="end"/>
        </w:r>
      </w:hyperlink>
    </w:p>
    <w:p w14:paraId="0A55DBDF" w14:textId="6F39AE25" w:rsidR="0042106D" w:rsidRDefault="007B27CA">
      <w:pPr>
        <w:pStyle w:val="TOC1"/>
        <w:rPr>
          <w:rFonts w:asciiTheme="minorHAnsi" w:eastAsiaTheme="minorEastAsia" w:hAnsiTheme="minorHAnsi" w:cstheme="minorBidi"/>
          <w:b w:val="0"/>
          <w:noProof/>
          <w:sz w:val="22"/>
          <w:szCs w:val="22"/>
          <w:lang w:eastAsia="en-AU"/>
        </w:rPr>
      </w:pPr>
      <w:hyperlink w:anchor="_Toc17155119" w:history="1">
        <w:r w:rsidR="0042106D" w:rsidRPr="00F37888">
          <w:rPr>
            <w:rStyle w:val="Hyperlink"/>
            <w:noProof/>
          </w:rPr>
          <w:t>Question 21. What are the resource implications of any proposed reforms to committal or pre-trial proceedings?</w:t>
        </w:r>
        <w:r w:rsidR="0042106D">
          <w:rPr>
            <w:noProof/>
            <w:webHidden/>
          </w:rPr>
          <w:tab/>
        </w:r>
        <w:r w:rsidR="0042106D">
          <w:rPr>
            <w:noProof/>
            <w:webHidden/>
          </w:rPr>
          <w:fldChar w:fldCharType="begin"/>
        </w:r>
        <w:r w:rsidR="0042106D">
          <w:rPr>
            <w:noProof/>
            <w:webHidden/>
          </w:rPr>
          <w:instrText xml:space="preserve"> PAGEREF _Toc17155119 \h </w:instrText>
        </w:r>
        <w:r w:rsidR="0042106D">
          <w:rPr>
            <w:noProof/>
            <w:webHidden/>
          </w:rPr>
        </w:r>
        <w:r w:rsidR="0042106D">
          <w:rPr>
            <w:noProof/>
            <w:webHidden/>
          </w:rPr>
          <w:fldChar w:fldCharType="separate"/>
        </w:r>
        <w:r w:rsidR="00372623">
          <w:rPr>
            <w:noProof/>
            <w:webHidden/>
          </w:rPr>
          <w:t>44</w:t>
        </w:r>
        <w:r w:rsidR="0042106D">
          <w:rPr>
            <w:noProof/>
            <w:webHidden/>
          </w:rPr>
          <w:fldChar w:fldCharType="end"/>
        </w:r>
      </w:hyperlink>
    </w:p>
    <w:p w14:paraId="1AE0C29F" w14:textId="69AEB1DE" w:rsidR="0042106D" w:rsidRDefault="007B27CA">
      <w:pPr>
        <w:pStyle w:val="TOC3"/>
        <w:rPr>
          <w:rFonts w:asciiTheme="minorHAnsi" w:eastAsiaTheme="minorEastAsia" w:hAnsiTheme="minorHAnsi" w:cstheme="minorBidi"/>
          <w:sz w:val="22"/>
          <w:szCs w:val="22"/>
          <w:lang w:eastAsia="en-AU"/>
        </w:rPr>
      </w:pPr>
      <w:hyperlink w:anchor="_Toc17155120" w:history="1">
        <w:r w:rsidR="0042106D" w:rsidRPr="00F37888">
          <w:rPr>
            <w:rStyle w:val="Hyperlink"/>
          </w:rPr>
          <w:t>Current criminal justice system pressures</w:t>
        </w:r>
        <w:r w:rsidR="0042106D">
          <w:rPr>
            <w:webHidden/>
          </w:rPr>
          <w:tab/>
        </w:r>
        <w:r w:rsidR="0042106D">
          <w:rPr>
            <w:webHidden/>
          </w:rPr>
          <w:fldChar w:fldCharType="begin"/>
        </w:r>
        <w:r w:rsidR="0042106D">
          <w:rPr>
            <w:webHidden/>
          </w:rPr>
          <w:instrText xml:space="preserve"> PAGEREF _Toc17155120 \h </w:instrText>
        </w:r>
        <w:r w:rsidR="0042106D">
          <w:rPr>
            <w:webHidden/>
          </w:rPr>
        </w:r>
        <w:r w:rsidR="0042106D">
          <w:rPr>
            <w:webHidden/>
          </w:rPr>
          <w:fldChar w:fldCharType="separate"/>
        </w:r>
        <w:r w:rsidR="00372623">
          <w:rPr>
            <w:webHidden/>
          </w:rPr>
          <w:t>44</w:t>
        </w:r>
        <w:r w:rsidR="0042106D">
          <w:rPr>
            <w:webHidden/>
          </w:rPr>
          <w:fldChar w:fldCharType="end"/>
        </w:r>
      </w:hyperlink>
    </w:p>
    <w:p w14:paraId="3B97019D" w14:textId="56A2FB24" w:rsidR="0042106D" w:rsidRDefault="007B27CA">
      <w:pPr>
        <w:pStyle w:val="TOC3"/>
        <w:rPr>
          <w:rFonts w:asciiTheme="minorHAnsi" w:eastAsiaTheme="minorEastAsia" w:hAnsiTheme="minorHAnsi" w:cstheme="minorBidi"/>
          <w:sz w:val="22"/>
          <w:szCs w:val="22"/>
          <w:lang w:eastAsia="en-AU"/>
        </w:rPr>
      </w:pPr>
      <w:hyperlink w:anchor="_Toc17155121" w:history="1">
        <w:r w:rsidR="0042106D" w:rsidRPr="00F37888">
          <w:rPr>
            <w:rStyle w:val="Hyperlink"/>
          </w:rPr>
          <w:t>Cost of moving all pre-trial proceedings to the higher courts</w:t>
        </w:r>
        <w:r w:rsidR="0042106D">
          <w:rPr>
            <w:webHidden/>
          </w:rPr>
          <w:tab/>
        </w:r>
        <w:r w:rsidR="0042106D">
          <w:rPr>
            <w:webHidden/>
          </w:rPr>
          <w:fldChar w:fldCharType="begin"/>
        </w:r>
        <w:r w:rsidR="0042106D">
          <w:rPr>
            <w:webHidden/>
          </w:rPr>
          <w:instrText xml:space="preserve"> PAGEREF _Toc17155121 \h </w:instrText>
        </w:r>
        <w:r w:rsidR="0042106D">
          <w:rPr>
            <w:webHidden/>
          </w:rPr>
        </w:r>
        <w:r w:rsidR="0042106D">
          <w:rPr>
            <w:webHidden/>
          </w:rPr>
          <w:fldChar w:fldCharType="separate"/>
        </w:r>
        <w:r w:rsidR="00372623">
          <w:rPr>
            <w:webHidden/>
          </w:rPr>
          <w:t>45</w:t>
        </w:r>
        <w:r w:rsidR="0042106D">
          <w:rPr>
            <w:webHidden/>
          </w:rPr>
          <w:fldChar w:fldCharType="end"/>
        </w:r>
      </w:hyperlink>
    </w:p>
    <w:p w14:paraId="2B25B230" w14:textId="43D1E77A" w:rsidR="0042106D" w:rsidRDefault="007B27CA">
      <w:pPr>
        <w:pStyle w:val="TOC3"/>
        <w:rPr>
          <w:rFonts w:asciiTheme="minorHAnsi" w:eastAsiaTheme="minorEastAsia" w:hAnsiTheme="minorHAnsi" w:cstheme="minorBidi"/>
          <w:sz w:val="22"/>
          <w:szCs w:val="22"/>
          <w:lang w:eastAsia="en-AU"/>
        </w:rPr>
      </w:pPr>
      <w:hyperlink w:anchor="_Toc17155122" w:history="1">
        <w:r w:rsidR="0042106D" w:rsidRPr="00F37888">
          <w:rPr>
            <w:rStyle w:val="Hyperlink"/>
          </w:rPr>
          <w:t>Regional impacts</w:t>
        </w:r>
        <w:r w:rsidR="0042106D">
          <w:rPr>
            <w:webHidden/>
          </w:rPr>
          <w:tab/>
        </w:r>
        <w:r w:rsidR="0042106D">
          <w:rPr>
            <w:webHidden/>
          </w:rPr>
          <w:fldChar w:fldCharType="begin"/>
        </w:r>
        <w:r w:rsidR="0042106D">
          <w:rPr>
            <w:webHidden/>
          </w:rPr>
          <w:instrText xml:space="preserve"> PAGEREF _Toc17155122 \h </w:instrText>
        </w:r>
        <w:r w:rsidR="0042106D">
          <w:rPr>
            <w:webHidden/>
          </w:rPr>
        </w:r>
        <w:r w:rsidR="0042106D">
          <w:rPr>
            <w:webHidden/>
          </w:rPr>
          <w:fldChar w:fldCharType="separate"/>
        </w:r>
        <w:r w:rsidR="00372623">
          <w:rPr>
            <w:webHidden/>
          </w:rPr>
          <w:t>46</w:t>
        </w:r>
        <w:r w:rsidR="0042106D">
          <w:rPr>
            <w:webHidden/>
          </w:rPr>
          <w:fldChar w:fldCharType="end"/>
        </w:r>
      </w:hyperlink>
    </w:p>
    <w:p w14:paraId="6031A038" w14:textId="21E7D0AD" w:rsidR="0042106D" w:rsidRDefault="007B27CA">
      <w:pPr>
        <w:pStyle w:val="TOC3"/>
        <w:rPr>
          <w:rFonts w:asciiTheme="minorHAnsi" w:eastAsiaTheme="minorEastAsia" w:hAnsiTheme="minorHAnsi" w:cstheme="minorBidi"/>
          <w:sz w:val="22"/>
          <w:szCs w:val="22"/>
          <w:lang w:eastAsia="en-AU"/>
        </w:rPr>
      </w:pPr>
      <w:hyperlink w:anchor="_Toc17155123" w:history="1">
        <w:r w:rsidR="0042106D" w:rsidRPr="00F37888">
          <w:rPr>
            <w:rStyle w:val="Hyperlink"/>
          </w:rPr>
          <w:t>VLA specific resource implications</w:t>
        </w:r>
        <w:r w:rsidR="0042106D">
          <w:rPr>
            <w:webHidden/>
          </w:rPr>
          <w:tab/>
        </w:r>
        <w:r w:rsidR="0042106D">
          <w:rPr>
            <w:webHidden/>
          </w:rPr>
          <w:fldChar w:fldCharType="begin"/>
        </w:r>
        <w:r w:rsidR="0042106D">
          <w:rPr>
            <w:webHidden/>
          </w:rPr>
          <w:instrText xml:space="preserve"> PAGEREF _Toc17155123 \h </w:instrText>
        </w:r>
        <w:r w:rsidR="0042106D">
          <w:rPr>
            <w:webHidden/>
          </w:rPr>
        </w:r>
        <w:r w:rsidR="0042106D">
          <w:rPr>
            <w:webHidden/>
          </w:rPr>
          <w:fldChar w:fldCharType="separate"/>
        </w:r>
        <w:r w:rsidR="00372623">
          <w:rPr>
            <w:webHidden/>
          </w:rPr>
          <w:t>48</w:t>
        </w:r>
        <w:r w:rsidR="0042106D">
          <w:rPr>
            <w:webHidden/>
          </w:rPr>
          <w:fldChar w:fldCharType="end"/>
        </w:r>
      </w:hyperlink>
    </w:p>
    <w:p w14:paraId="6ADC7ACE" w14:textId="2A42517F" w:rsidR="0042106D" w:rsidRDefault="007B27CA">
      <w:pPr>
        <w:pStyle w:val="TOC3"/>
        <w:rPr>
          <w:rFonts w:asciiTheme="minorHAnsi" w:eastAsiaTheme="minorEastAsia" w:hAnsiTheme="minorHAnsi" w:cstheme="minorBidi"/>
          <w:sz w:val="22"/>
          <w:szCs w:val="22"/>
          <w:lang w:eastAsia="en-AU"/>
        </w:rPr>
      </w:pPr>
      <w:hyperlink w:anchor="_Toc17155124" w:history="1">
        <w:r w:rsidR="0042106D" w:rsidRPr="00F37888">
          <w:rPr>
            <w:rStyle w:val="Hyperlink"/>
          </w:rPr>
          <w:t>Evaluation</w:t>
        </w:r>
        <w:r w:rsidR="0042106D">
          <w:rPr>
            <w:webHidden/>
          </w:rPr>
          <w:tab/>
        </w:r>
        <w:r w:rsidR="0042106D">
          <w:rPr>
            <w:webHidden/>
          </w:rPr>
          <w:fldChar w:fldCharType="begin"/>
        </w:r>
        <w:r w:rsidR="0042106D">
          <w:rPr>
            <w:webHidden/>
          </w:rPr>
          <w:instrText xml:space="preserve"> PAGEREF _Toc17155124 \h </w:instrText>
        </w:r>
        <w:r w:rsidR="0042106D">
          <w:rPr>
            <w:webHidden/>
          </w:rPr>
        </w:r>
        <w:r w:rsidR="0042106D">
          <w:rPr>
            <w:webHidden/>
          </w:rPr>
          <w:fldChar w:fldCharType="separate"/>
        </w:r>
        <w:r w:rsidR="00372623">
          <w:rPr>
            <w:webHidden/>
          </w:rPr>
          <w:t>48</w:t>
        </w:r>
        <w:r w:rsidR="0042106D">
          <w:rPr>
            <w:webHidden/>
          </w:rPr>
          <w:fldChar w:fldCharType="end"/>
        </w:r>
      </w:hyperlink>
    </w:p>
    <w:p w14:paraId="27601158" w14:textId="3F0F57EA" w:rsidR="0042106D" w:rsidRDefault="007B27CA">
      <w:pPr>
        <w:pStyle w:val="TOC1"/>
        <w:rPr>
          <w:rFonts w:asciiTheme="minorHAnsi" w:eastAsiaTheme="minorEastAsia" w:hAnsiTheme="minorHAnsi" w:cstheme="minorBidi"/>
          <w:b w:val="0"/>
          <w:noProof/>
          <w:sz w:val="22"/>
          <w:szCs w:val="22"/>
          <w:lang w:eastAsia="en-AU"/>
        </w:rPr>
      </w:pPr>
      <w:hyperlink w:anchor="_Toc17155125" w:history="1">
        <w:r w:rsidR="0042106D" w:rsidRPr="00F37888">
          <w:rPr>
            <w:rStyle w:val="Hyperlink"/>
            <w:noProof/>
          </w:rPr>
          <w:t xml:space="preserve">Appendix A – Example </w:t>
        </w:r>
        <w:r w:rsidR="00241E56">
          <w:rPr>
            <w:rStyle w:val="Hyperlink"/>
            <w:noProof/>
          </w:rPr>
          <w:t>F</w:t>
        </w:r>
        <w:r w:rsidR="0042106D" w:rsidRPr="00F37888">
          <w:rPr>
            <w:rStyle w:val="Hyperlink"/>
            <w:noProof/>
          </w:rPr>
          <w:t>orm</w:t>
        </w:r>
        <w:r w:rsidR="00241E56">
          <w:rPr>
            <w:rStyle w:val="Hyperlink"/>
            <w:noProof/>
          </w:rPr>
          <w:t xml:space="preserve"> 32</w:t>
        </w:r>
        <w:r w:rsidR="0042106D">
          <w:rPr>
            <w:noProof/>
            <w:webHidden/>
          </w:rPr>
          <w:tab/>
        </w:r>
        <w:r w:rsidR="0042106D">
          <w:rPr>
            <w:noProof/>
            <w:webHidden/>
          </w:rPr>
          <w:fldChar w:fldCharType="begin"/>
        </w:r>
        <w:r w:rsidR="0042106D">
          <w:rPr>
            <w:noProof/>
            <w:webHidden/>
          </w:rPr>
          <w:instrText xml:space="preserve"> PAGEREF _Toc17155125 \h </w:instrText>
        </w:r>
        <w:r w:rsidR="0042106D">
          <w:rPr>
            <w:noProof/>
            <w:webHidden/>
          </w:rPr>
        </w:r>
        <w:r w:rsidR="0042106D">
          <w:rPr>
            <w:noProof/>
            <w:webHidden/>
          </w:rPr>
          <w:fldChar w:fldCharType="separate"/>
        </w:r>
        <w:r w:rsidR="00372623">
          <w:rPr>
            <w:noProof/>
            <w:webHidden/>
          </w:rPr>
          <w:t>1</w:t>
        </w:r>
        <w:r w:rsidR="0042106D">
          <w:rPr>
            <w:noProof/>
            <w:webHidden/>
          </w:rPr>
          <w:fldChar w:fldCharType="end"/>
        </w:r>
      </w:hyperlink>
    </w:p>
    <w:p w14:paraId="660FDEE9" w14:textId="61D97EBC" w:rsidR="00F92EA5" w:rsidRPr="00E44D59" w:rsidRDefault="0042106D" w:rsidP="004175D9">
      <w:pPr>
        <w:jc w:val="both"/>
        <w:rPr>
          <w:rFonts w:cs="Arial"/>
        </w:rPr>
      </w:pPr>
      <w:r>
        <w:rPr>
          <w:b/>
          <w:sz w:val="20"/>
        </w:rPr>
        <w:fldChar w:fldCharType="end"/>
      </w:r>
    </w:p>
    <w:p w14:paraId="09E78DC7" w14:textId="77777777" w:rsidR="002B4970" w:rsidRPr="00E44D59" w:rsidRDefault="002B4970" w:rsidP="004175D9">
      <w:pPr>
        <w:jc w:val="both"/>
        <w:rPr>
          <w:rFonts w:cs="Arial"/>
          <w:lang w:eastAsia="en-AU"/>
        </w:rPr>
        <w:sectPr w:rsidR="002B4970" w:rsidRPr="00E44D59" w:rsidSect="00BF6480">
          <w:headerReference w:type="default" r:id="rId16"/>
          <w:footerReference w:type="default" r:id="rId17"/>
          <w:pgSz w:w="11906" w:h="16838" w:code="9"/>
          <w:pgMar w:top="1247" w:right="992" w:bottom="1134" w:left="1134" w:header="851" w:footer="680" w:gutter="0"/>
          <w:paperSrc w:first="1512" w:other="1512"/>
          <w:pgNumType w:fmt="lowerRoman" w:start="1"/>
          <w:cols w:space="720"/>
          <w:docGrid w:linePitch="299"/>
        </w:sectPr>
      </w:pPr>
    </w:p>
    <w:p w14:paraId="4E40076D" w14:textId="6393C937" w:rsidR="00A7635D" w:rsidRDefault="00A7635D" w:rsidP="00677422">
      <w:pPr>
        <w:pStyle w:val="Heading1"/>
        <w:spacing w:before="0"/>
      </w:pPr>
      <w:bookmarkStart w:id="1" w:name="_Toc17050652"/>
      <w:bookmarkStart w:id="2" w:name="_Toc17155067"/>
      <w:r>
        <w:lastRenderedPageBreak/>
        <w:t>Executive Summary</w:t>
      </w:r>
      <w:bookmarkEnd w:id="1"/>
      <w:bookmarkEnd w:id="2"/>
      <w:r>
        <w:t xml:space="preserve"> </w:t>
      </w:r>
    </w:p>
    <w:p w14:paraId="4FD1DE6A" w14:textId="6DB7F7BF" w:rsidR="00541751" w:rsidRDefault="00541751" w:rsidP="00E2046A">
      <w:pPr>
        <w:pStyle w:val="VLADocumentText"/>
        <w:rPr>
          <w:rFonts w:cs="Arial"/>
          <w:color w:val="000000"/>
          <w:shd w:val="clear" w:color="auto" w:fill="FFFFFF"/>
        </w:rPr>
      </w:pPr>
      <w:bookmarkStart w:id="3" w:name="_Hlk16536044"/>
      <w:r>
        <w:rPr>
          <w:rFonts w:cs="Arial"/>
          <w:color w:val="000000"/>
          <w:shd w:val="clear" w:color="auto" w:fill="FFFFFF"/>
        </w:rPr>
        <w:t xml:space="preserve">Victoria Legal Aid </w:t>
      </w:r>
      <w:r w:rsidR="007051CE">
        <w:rPr>
          <w:rFonts w:cs="Arial"/>
          <w:color w:val="000000"/>
          <w:shd w:val="clear" w:color="auto" w:fill="FFFFFF"/>
        </w:rPr>
        <w:t xml:space="preserve">(VLA) </w:t>
      </w:r>
      <w:r>
        <w:rPr>
          <w:rFonts w:cs="Arial"/>
          <w:color w:val="000000"/>
          <w:shd w:val="clear" w:color="auto" w:fill="FFFFFF"/>
        </w:rPr>
        <w:t xml:space="preserve">welcomes the opportunity to contribute to the Commission’s consideration of reforms </w:t>
      </w:r>
      <w:r w:rsidR="007051CE">
        <w:rPr>
          <w:rFonts w:cs="Arial"/>
          <w:color w:val="000000"/>
          <w:shd w:val="clear" w:color="auto" w:fill="FFFFFF"/>
        </w:rPr>
        <w:t>to the committal system</w:t>
      </w:r>
      <w:r>
        <w:rPr>
          <w:rFonts w:cs="Arial"/>
          <w:color w:val="000000"/>
          <w:shd w:val="clear" w:color="auto" w:fill="FFFFFF"/>
        </w:rPr>
        <w:t xml:space="preserve"> that will improve the efficiency of the criminal justice system, reduce the trauma experienced by </w:t>
      </w:r>
      <w:r w:rsidR="00F9673C">
        <w:rPr>
          <w:rFonts w:cs="Arial"/>
          <w:color w:val="000000"/>
          <w:shd w:val="clear" w:color="auto" w:fill="FFFFFF"/>
        </w:rPr>
        <w:t>victims</w:t>
      </w:r>
      <w:r>
        <w:rPr>
          <w:rFonts w:cs="Arial"/>
          <w:color w:val="000000"/>
          <w:shd w:val="clear" w:color="auto" w:fill="FFFFFF"/>
        </w:rPr>
        <w:t xml:space="preserve"> and witnesses </w:t>
      </w:r>
      <w:r w:rsidR="009B0D35">
        <w:rPr>
          <w:color w:val="000000"/>
          <w:shd w:val="clear" w:color="auto" w:fill="FFFFFF"/>
        </w:rPr>
        <w:t xml:space="preserve">and </w:t>
      </w:r>
      <w:r w:rsidR="009B0D35" w:rsidRPr="00E44D59">
        <w:rPr>
          <w:color w:val="000000"/>
          <w:shd w:val="clear" w:color="auto" w:fill="FFFFFF"/>
        </w:rPr>
        <w:t>ensure rights to a fair trial.</w:t>
      </w:r>
      <w:bookmarkStart w:id="4" w:name="_Ref17119447"/>
      <w:r w:rsidR="009B0D35">
        <w:rPr>
          <w:rStyle w:val="FootnoteReference"/>
          <w:rFonts w:cs="Arial"/>
          <w:color w:val="000000"/>
          <w:shd w:val="clear" w:color="auto" w:fill="FFFFFF"/>
        </w:rPr>
        <w:footnoteReference w:id="2"/>
      </w:r>
      <w:bookmarkEnd w:id="4"/>
      <w:r w:rsidR="003117CD">
        <w:rPr>
          <w:color w:val="000000"/>
          <w:shd w:val="clear" w:color="auto" w:fill="FFFFFF"/>
        </w:rPr>
        <w:t xml:space="preserve"> </w:t>
      </w:r>
    </w:p>
    <w:p w14:paraId="5101BBD4" w14:textId="619395AD" w:rsidR="00F8524A" w:rsidRDefault="007051CE" w:rsidP="009803B4">
      <w:pPr>
        <w:pStyle w:val="VLADocumentText"/>
        <w:rPr>
          <w:rFonts w:cs="Arial"/>
          <w:color w:val="000000"/>
          <w:shd w:val="clear" w:color="auto" w:fill="FFFFFF"/>
        </w:rPr>
      </w:pPr>
      <w:r w:rsidRPr="00641961">
        <w:rPr>
          <w:rFonts w:cs="Arial"/>
          <w:color w:val="000000"/>
          <w:shd w:val="clear" w:color="auto" w:fill="FFFFFF"/>
        </w:rPr>
        <w:t xml:space="preserve">We consider </w:t>
      </w:r>
      <w:r w:rsidR="005D1C72" w:rsidRPr="00B65000">
        <w:rPr>
          <w:rFonts w:cs="Arial"/>
          <w:color w:val="000000"/>
          <w:shd w:val="clear" w:color="auto" w:fill="FFFFFF"/>
        </w:rPr>
        <w:t xml:space="preserve">that these objectives </w:t>
      </w:r>
      <w:r w:rsidR="00CE4FEA">
        <w:rPr>
          <w:rFonts w:cs="Arial"/>
          <w:color w:val="000000"/>
          <w:shd w:val="clear" w:color="auto" w:fill="FFFFFF"/>
        </w:rPr>
        <w:t>c</w:t>
      </w:r>
      <w:r w:rsidR="005D1C72" w:rsidRPr="00B65000">
        <w:rPr>
          <w:rFonts w:cs="Arial"/>
          <w:color w:val="000000"/>
          <w:shd w:val="clear" w:color="auto" w:fill="FFFFFF"/>
        </w:rPr>
        <w:t xml:space="preserve">an be achieved </w:t>
      </w:r>
      <w:r w:rsidR="009803B4" w:rsidRPr="00B65000">
        <w:rPr>
          <w:rFonts w:cs="Arial"/>
          <w:color w:val="000000"/>
          <w:shd w:val="clear" w:color="auto" w:fill="FFFFFF"/>
        </w:rPr>
        <w:t xml:space="preserve">by retaining the key elements of the current committals system, </w:t>
      </w:r>
      <w:r w:rsidR="00A97A00">
        <w:rPr>
          <w:rFonts w:cs="Arial"/>
          <w:color w:val="000000"/>
          <w:shd w:val="clear" w:color="auto" w:fill="FFFFFF"/>
        </w:rPr>
        <w:t xml:space="preserve">with </w:t>
      </w:r>
      <w:r w:rsidR="009803B4" w:rsidRPr="00B65000">
        <w:rPr>
          <w:rFonts w:cs="Arial"/>
          <w:color w:val="000000"/>
          <w:shd w:val="clear" w:color="auto" w:fill="FFFFFF"/>
        </w:rPr>
        <w:t xml:space="preserve">improvements to address inefficiencies </w:t>
      </w:r>
      <w:r w:rsidR="00D97A41" w:rsidRPr="00B65000">
        <w:rPr>
          <w:rFonts w:cs="Arial"/>
          <w:color w:val="000000"/>
          <w:shd w:val="clear" w:color="auto" w:fill="FFFFFF"/>
        </w:rPr>
        <w:t xml:space="preserve">and bolster </w:t>
      </w:r>
      <w:r w:rsidR="009803B4" w:rsidRPr="00B65000">
        <w:rPr>
          <w:rFonts w:cs="Arial"/>
          <w:color w:val="000000"/>
          <w:shd w:val="clear" w:color="auto" w:fill="FFFFFF"/>
        </w:rPr>
        <w:t xml:space="preserve">protections for </w:t>
      </w:r>
      <w:r w:rsidR="00D97A41" w:rsidRPr="00B65000">
        <w:rPr>
          <w:rFonts w:cs="Arial"/>
          <w:color w:val="000000"/>
          <w:shd w:val="clear" w:color="auto" w:fill="FFFFFF"/>
        </w:rPr>
        <w:t>victims</w:t>
      </w:r>
      <w:r w:rsidR="00905574" w:rsidRPr="00B65000">
        <w:rPr>
          <w:rFonts w:cs="Arial"/>
          <w:color w:val="000000"/>
          <w:shd w:val="clear" w:color="auto" w:fill="FFFFFF"/>
        </w:rPr>
        <w:t>.</w:t>
      </w:r>
      <w:r w:rsidR="00577355">
        <w:rPr>
          <w:rFonts w:cs="Arial"/>
          <w:color w:val="000000"/>
          <w:shd w:val="clear" w:color="auto" w:fill="FFFFFF"/>
        </w:rPr>
        <w:t xml:space="preserve"> </w:t>
      </w:r>
    </w:p>
    <w:p w14:paraId="541F3AF4" w14:textId="7247005F" w:rsidR="009803B4" w:rsidRDefault="00DD3B50" w:rsidP="009803B4">
      <w:pPr>
        <w:pStyle w:val="VLADocumentText"/>
        <w:rPr>
          <w:rFonts w:cs="Arial"/>
          <w:color w:val="000000"/>
          <w:shd w:val="clear" w:color="auto" w:fill="FFFFFF"/>
        </w:rPr>
      </w:pPr>
      <w:r>
        <w:rPr>
          <w:rFonts w:cs="Arial"/>
          <w:color w:val="000000"/>
          <w:shd w:val="clear" w:color="auto" w:fill="FFFFFF"/>
        </w:rPr>
        <w:t>Acknowledging the significant legislative reform efforts of the past ten years, o</w:t>
      </w:r>
      <w:r w:rsidRPr="00E44D59">
        <w:rPr>
          <w:rFonts w:cs="Arial"/>
          <w:color w:val="000000"/>
          <w:shd w:val="clear" w:color="auto" w:fill="FFFFFF"/>
        </w:rPr>
        <w:t xml:space="preserve">ur emphasis is </w:t>
      </w:r>
      <w:r>
        <w:rPr>
          <w:rFonts w:cs="Arial"/>
          <w:color w:val="000000"/>
          <w:shd w:val="clear" w:color="auto" w:fill="FFFFFF"/>
        </w:rPr>
        <w:t xml:space="preserve">not on a wholesale restructure of the system, but </w:t>
      </w:r>
      <w:r w:rsidRPr="00E44D59">
        <w:rPr>
          <w:rFonts w:cs="Arial"/>
          <w:color w:val="000000"/>
          <w:shd w:val="clear" w:color="auto" w:fill="FFFFFF"/>
        </w:rPr>
        <w:t xml:space="preserve">on </w:t>
      </w:r>
      <w:r>
        <w:rPr>
          <w:rFonts w:cs="Arial"/>
          <w:color w:val="000000"/>
          <w:shd w:val="clear" w:color="auto" w:fill="FFFFFF"/>
        </w:rPr>
        <w:t>improving</w:t>
      </w:r>
      <w:r w:rsidRPr="00E44D59">
        <w:rPr>
          <w:rFonts w:cs="Arial"/>
          <w:color w:val="000000"/>
          <w:shd w:val="clear" w:color="auto" w:fill="FFFFFF"/>
        </w:rPr>
        <w:t xml:space="preserve"> practices by all parties (defence </w:t>
      </w:r>
      <w:r w:rsidR="00C44093">
        <w:rPr>
          <w:rFonts w:cs="Arial"/>
          <w:color w:val="000000"/>
          <w:shd w:val="clear" w:color="auto" w:fill="FFFFFF"/>
        </w:rPr>
        <w:t>lawyers</w:t>
      </w:r>
      <w:r>
        <w:rPr>
          <w:rFonts w:cs="Arial"/>
          <w:color w:val="000000"/>
          <w:shd w:val="clear" w:color="auto" w:fill="FFFFFF"/>
        </w:rPr>
        <w:t>,</w:t>
      </w:r>
      <w:r w:rsidRPr="00E44D59">
        <w:rPr>
          <w:rFonts w:cs="Arial"/>
          <w:color w:val="000000"/>
          <w:shd w:val="clear" w:color="auto" w:fill="FFFFFF"/>
        </w:rPr>
        <w:t xml:space="preserve"> </w:t>
      </w:r>
      <w:r>
        <w:rPr>
          <w:rFonts w:cs="Arial"/>
          <w:color w:val="000000"/>
          <w:shd w:val="clear" w:color="auto" w:fill="FFFFFF"/>
        </w:rPr>
        <w:t>investigators</w:t>
      </w:r>
      <w:r w:rsidRPr="00E44D59">
        <w:rPr>
          <w:rFonts w:cs="Arial"/>
          <w:color w:val="000000"/>
          <w:shd w:val="clear" w:color="auto" w:fill="FFFFFF"/>
        </w:rPr>
        <w:t xml:space="preserve">, </w:t>
      </w:r>
      <w:r>
        <w:rPr>
          <w:rFonts w:cs="Arial"/>
          <w:color w:val="000000"/>
          <w:shd w:val="clear" w:color="auto" w:fill="FFFFFF"/>
        </w:rPr>
        <w:t xml:space="preserve">prosecutors and </w:t>
      </w:r>
      <w:r w:rsidRPr="00E44D59">
        <w:rPr>
          <w:rFonts w:cs="Arial"/>
          <w:color w:val="000000"/>
          <w:shd w:val="clear" w:color="auto" w:fill="FFFFFF"/>
        </w:rPr>
        <w:t xml:space="preserve">the </w:t>
      </w:r>
      <w:r>
        <w:rPr>
          <w:rFonts w:cs="Arial"/>
          <w:color w:val="000000"/>
          <w:shd w:val="clear" w:color="auto" w:fill="FFFFFF"/>
        </w:rPr>
        <w:t>c</w:t>
      </w:r>
      <w:r w:rsidRPr="00E44D59">
        <w:rPr>
          <w:rFonts w:cs="Arial"/>
          <w:color w:val="000000"/>
          <w:shd w:val="clear" w:color="auto" w:fill="FFFFFF"/>
        </w:rPr>
        <w:t xml:space="preserve">ourts) </w:t>
      </w:r>
      <w:r>
        <w:rPr>
          <w:rFonts w:cs="Arial"/>
          <w:color w:val="000000"/>
          <w:shd w:val="clear" w:color="auto" w:fill="FFFFFF"/>
        </w:rPr>
        <w:t xml:space="preserve">with a focus on timely </w:t>
      </w:r>
      <w:r w:rsidRPr="00E44D59">
        <w:rPr>
          <w:rFonts w:cs="Arial"/>
          <w:color w:val="000000"/>
          <w:shd w:val="clear" w:color="auto" w:fill="FFFFFF"/>
        </w:rPr>
        <w:t>disclosure</w:t>
      </w:r>
      <w:r w:rsidR="00197AC2">
        <w:rPr>
          <w:rFonts w:cs="Arial"/>
          <w:color w:val="000000"/>
          <w:shd w:val="clear" w:color="auto" w:fill="FFFFFF"/>
        </w:rPr>
        <w:t>,</w:t>
      </w:r>
      <w:r w:rsidRPr="00E44D59">
        <w:rPr>
          <w:rFonts w:cs="Arial"/>
          <w:color w:val="000000"/>
          <w:shd w:val="clear" w:color="auto" w:fill="FFFFFF"/>
        </w:rPr>
        <w:t xml:space="preserve"> </w:t>
      </w:r>
      <w:r w:rsidR="00CF05F6">
        <w:rPr>
          <w:rFonts w:cs="Arial"/>
          <w:color w:val="000000"/>
          <w:shd w:val="clear" w:color="auto" w:fill="FFFFFF"/>
        </w:rPr>
        <w:t xml:space="preserve">increased communication and </w:t>
      </w:r>
      <w:r w:rsidR="00197AC2">
        <w:rPr>
          <w:rFonts w:cs="Arial"/>
          <w:color w:val="000000"/>
          <w:shd w:val="clear" w:color="auto" w:fill="FFFFFF"/>
        </w:rPr>
        <w:t xml:space="preserve">early </w:t>
      </w:r>
      <w:r w:rsidR="00CF05F6">
        <w:rPr>
          <w:rFonts w:cs="Arial"/>
          <w:color w:val="000000"/>
          <w:shd w:val="clear" w:color="auto" w:fill="FFFFFF"/>
        </w:rPr>
        <w:t xml:space="preserve">involvement </w:t>
      </w:r>
      <w:r w:rsidR="00121856">
        <w:rPr>
          <w:rFonts w:cs="Arial"/>
          <w:color w:val="000000"/>
          <w:shd w:val="clear" w:color="auto" w:fill="FFFFFF"/>
        </w:rPr>
        <w:t xml:space="preserve">and oversight </w:t>
      </w:r>
      <w:r w:rsidR="00CF05F6">
        <w:rPr>
          <w:rFonts w:cs="Arial"/>
          <w:color w:val="000000"/>
          <w:shd w:val="clear" w:color="auto" w:fill="FFFFFF"/>
        </w:rPr>
        <w:t>by senior lawyers</w:t>
      </w:r>
      <w:r w:rsidRPr="00E44D59">
        <w:rPr>
          <w:rFonts w:cs="Arial"/>
          <w:color w:val="000000"/>
          <w:shd w:val="clear" w:color="auto" w:fill="FFFFFF"/>
        </w:rPr>
        <w:t>.</w:t>
      </w:r>
      <w:r>
        <w:rPr>
          <w:rFonts w:cs="Arial"/>
          <w:color w:val="000000"/>
          <w:shd w:val="clear" w:color="auto" w:fill="FFFFFF"/>
        </w:rPr>
        <w:t xml:space="preserve"> </w:t>
      </w:r>
      <w:r w:rsidR="00FC529D">
        <w:rPr>
          <w:rFonts w:cs="Arial"/>
          <w:color w:val="000000"/>
          <w:shd w:val="clear" w:color="auto" w:fill="FFFFFF"/>
        </w:rPr>
        <w:t xml:space="preserve">Investment in these areas </w:t>
      </w:r>
      <w:r w:rsidR="003A79C8">
        <w:rPr>
          <w:rFonts w:cs="Arial"/>
          <w:color w:val="000000"/>
          <w:shd w:val="clear" w:color="auto" w:fill="FFFFFF"/>
        </w:rPr>
        <w:t xml:space="preserve">will make </w:t>
      </w:r>
      <w:r w:rsidR="005D0285">
        <w:rPr>
          <w:rFonts w:cs="Arial"/>
          <w:color w:val="000000"/>
          <w:shd w:val="clear" w:color="auto" w:fill="FFFFFF"/>
        </w:rPr>
        <w:t xml:space="preserve">a </w:t>
      </w:r>
      <w:r w:rsidR="00BE7939">
        <w:rPr>
          <w:rFonts w:cs="Arial"/>
          <w:color w:val="000000"/>
          <w:shd w:val="clear" w:color="auto" w:fill="FFFFFF"/>
        </w:rPr>
        <w:t xml:space="preserve">significant </w:t>
      </w:r>
      <w:r w:rsidR="005D0285">
        <w:rPr>
          <w:rFonts w:cs="Arial"/>
          <w:color w:val="000000"/>
          <w:shd w:val="clear" w:color="auto" w:fill="FFFFFF"/>
        </w:rPr>
        <w:t>difference to the efficiency</w:t>
      </w:r>
      <w:r w:rsidR="007C3E18">
        <w:rPr>
          <w:rFonts w:cs="Arial"/>
          <w:color w:val="000000"/>
          <w:shd w:val="clear" w:color="auto" w:fill="FFFFFF"/>
        </w:rPr>
        <w:t xml:space="preserve"> and </w:t>
      </w:r>
      <w:r w:rsidR="00E014B5">
        <w:rPr>
          <w:rFonts w:cs="Arial"/>
          <w:color w:val="000000"/>
          <w:shd w:val="clear" w:color="auto" w:fill="FFFFFF"/>
        </w:rPr>
        <w:t xml:space="preserve">effectiveness </w:t>
      </w:r>
      <w:r w:rsidR="007C3E18">
        <w:rPr>
          <w:rFonts w:cs="Arial"/>
          <w:color w:val="000000"/>
          <w:shd w:val="clear" w:color="auto" w:fill="FFFFFF"/>
        </w:rPr>
        <w:t xml:space="preserve">of the current committal process, </w:t>
      </w:r>
      <w:r w:rsidR="00B3354A">
        <w:rPr>
          <w:rFonts w:cs="Arial"/>
          <w:color w:val="000000"/>
          <w:shd w:val="clear" w:color="auto" w:fill="FFFFFF"/>
        </w:rPr>
        <w:t>while</w:t>
      </w:r>
      <w:r w:rsidR="007C3E18">
        <w:rPr>
          <w:rFonts w:cs="Arial"/>
          <w:color w:val="000000"/>
          <w:shd w:val="clear" w:color="auto" w:fill="FFFFFF"/>
        </w:rPr>
        <w:t xml:space="preserve"> also </w:t>
      </w:r>
      <w:r w:rsidR="003C4974">
        <w:rPr>
          <w:rFonts w:cs="Arial"/>
          <w:color w:val="000000"/>
          <w:shd w:val="clear" w:color="auto" w:fill="FFFFFF"/>
        </w:rPr>
        <w:t xml:space="preserve">limiting </w:t>
      </w:r>
      <w:r w:rsidR="000C4A73">
        <w:rPr>
          <w:rFonts w:cs="Arial"/>
          <w:color w:val="000000"/>
          <w:shd w:val="clear" w:color="auto" w:fill="FFFFFF"/>
        </w:rPr>
        <w:t xml:space="preserve">trauma for </w:t>
      </w:r>
      <w:r w:rsidR="00DB7EE0">
        <w:rPr>
          <w:rFonts w:cs="Arial"/>
          <w:color w:val="000000"/>
          <w:shd w:val="clear" w:color="auto" w:fill="FFFFFF"/>
        </w:rPr>
        <w:t>complainants and witnesses</w:t>
      </w:r>
      <w:r w:rsidR="003C4974">
        <w:rPr>
          <w:rFonts w:cs="Arial"/>
          <w:color w:val="000000"/>
          <w:shd w:val="clear" w:color="auto" w:fill="FFFFFF"/>
        </w:rPr>
        <w:t>.</w:t>
      </w:r>
    </w:p>
    <w:p w14:paraId="5091AB16" w14:textId="28E639CB" w:rsidR="002A0F90" w:rsidRPr="00245F19" w:rsidRDefault="002A0F90" w:rsidP="002A0F90">
      <w:pPr>
        <w:pStyle w:val="VLADocumentText"/>
        <w:rPr>
          <w:rFonts w:cs="Arial"/>
          <w:spacing w:val="2"/>
        </w:rPr>
      </w:pPr>
      <w:r w:rsidRPr="00703E86">
        <w:rPr>
          <w:rFonts w:cs="Arial"/>
        </w:rPr>
        <w:t xml:space="preserve">The committal system is more than just the series of Magistrates’ and Children’s Court hearings. It incorporates the negotiations, disclosure and evidence testing procedures that precede the trial in a superior </w:t>
      </w:r>
      <w:r w:rsidRPr="00703E86">
        <w:rPr>
          <w:rFonts w:cs="Arial"/>
          <w:spacing w:val="2"/>
        </w:rPr>
        <w:t xml:space="preserve">court. It is essential to consider this function as part of the indictable criminal process as a whole. </w:t>
      </w:r>
    </w:p>
    <w:p w14:paraId="4FC4EEC5" w14:textId="317BB46D" w:rsidR="002A0F90" w:rsidRPr="00703E86" w:rsidRDefault="002A0F90" w:rsidP="009F6760">
      <w:pPr>
        <w:pStyle w:val="VLADocumentText"/>
        <w:rPr>
          <w:rFonts w:cs="Arial"/>
          <w:lang w:eastAsia="en-AU"/>
        </w:rPr>
      </w:pPr>
      <w:r w:rsidRPr="00703E86">
        <w:rPr>
          <w:rFonts w:cs="Arial"/>
          <w:color w:val="000000" w:themeColor="text1"/>
          <w:lang w:eastAsia="en-AU"/>
        </w:rPr>
        <w:t xml:space="preserve">When meeting </w:t>
      </w:r>
      <w:r w:rsidR="00703E86" w:rsidRPr="00703E86">
        <w:rPr>
          <w:rFonts w:cs="Arial"/>
          <w:color w:val="000000" w:themeColor="text1"/>
          <w:lang w:eastAsia="en-AU"/>
        </w:rPr>
        <w:t xml:space="preserve">its </w:t>
      </w:r>
      <w:r w:rsidRPr="00703E86">
        <w:rPr>
          <w:rFonts w:cs="Arial"/>
          <w:color w:val="000000" w:themeColor="text1"/>
          <w:lang w:eastAsia="en-AU"/>
        </w:rPr>
        <w:t>objective</w:t>
      </w:r>
      <w:r w:rsidR="00703E86" w:rsidRPr="00703E86">
        <w:rPr>
          <w:rFonts w:cs="Arial"/>
          <w:color w:val="000000" w:themeColor="text1"/>
          <w:lang w:eastAsia="en-AU"/>
        </w:rPr>
        <w:t>s</w:t>
      </w:r>
      <w:r w:rsidRPr="00703E86">
        <w:rPr>
          <w:rFonts w:cs="Arial"/>
          <w:color w:val="000000" w:themeColor="text1"/>
          <w:lang w:eastAsia="en-AU"/>
        </w:rPr>
        <w:t>, a well</w:t>
      </w:r>
      <w:r w:rsidR="0000031F">
        <w:rPr>
          <w:rFonts w:cs="Arial"/>
          <w:color w:val="000000" w:themeColor="text1"/>
          <w:lang w:eastAsia="en-AU"/>
        </w:rPr>
        <w:t>-</w:t>
      </w:r>
      <w:r w:rsidRPr="00703E86">
        <w:rPr>
          <w:rFonts w:cs="Arial"/>
          <w:color w:val="000000" w:themeColor="text1"/>
          <w:lang w:eastAsia="en-AU"/>
        </w:rPr>
        <w:t xml:space="preserve">run committal proceeding </w:t>
      </w:r>
      <w:r w:rsidRPr="00703E86">
        <w:rPr>
          <w:rFonts w:cs="Arial"/>
          <w:lang w:eastAsia="en-AU"/>
        </w:rPr>
        <w:t xml:space="preserve">can: </w:t>
      </w:r>
    </w:p>
    <w:p w14:paraId="01942CE2" w14:textId="33956546" w:rsidR="002A0F90" w:rsidRPr="00703E86" w:rsidRDefault="002A0F90" w:rsidP="003D4AF1">
      <w:pPr>
        <w:pStyle w:val="ListParagraph"/>
        <w:numPr>
          <w:ilvl w:val="0"/>
          <w:numId w:val="7"/>
        </w:numPr>
        <w:ind w:left="714" w:hanging="357"/>
        <w:rPr>
          <w:rFonts w:cs="Arial"/>
          <w:lang w:eastAsia="en-AU"/>
        </w:rPr>
      </w:pPr>
      <w:r w:rsidRPr="00703E86">
        <w:rPr>
          <w:rFonts w:cs="Arial"/>
          <w:lang w:eastAsia="en-AU"/>
        </w:rPr>
        <w:t>facilitate early resolution</w:t>
      </w:r>
      <w:r w:rsidR="007C34B1" w:rsidRPr="007C34B1">
        <w:rPr>
          <w:rFonts w:cs="Arial"/>
          <w:lang w:eastAsia="en-AU"/>
        </w:rPr>
        <w:t xml:space="preserve"> </w:t>
      </w:r>
      <w:r w:rsidR="007C34B1">
        <w:rPr>
          <w:rFonts w:cs="Arial"/>
          <w:lang w:eastAsia="en-AU"/>
        </w:rPr>
        <w:t xml:space="preserve">by </w:t>
      </w:r>
      <w:r w:rsidR="007C34B1" w:rsidRPr="00703E86">
        <w:rPr>
          <w:rFonts w:cs="Arial"/>
          <w:lang w:eastAsia="en-AU"/>
        </w:rPr>
        <w:t>ensuring that the accused has sufficient information to allow them to make an informed decision about whether to enter a guilty plea early in the process</w:t>
      </w:r>
      <w:r w:rsidRPr="00703E86">
        <w:rPr>
          <w:rFonts w:cs="Arial"/>
          <w:lang w:eastAsia="en-AU"/>
        </w:rPr>
        <w:t xml:space="preserve">, reducing the number of matters going to trial, saving complainants and witnesses the greater trauma of the trial process and vicissitudes, and saving the community costs; </w:t>
      </w:r>
    </w:p>
    <w:p w14:paraId="2C8A8BC8" w14:textId="209F713F" w:rsidR="002A0F90" w:rsidRPr="00703E86" w:rsidRDefault="002A0F90" w:rsidP="003D4AF1">
      <w:pPr>
        <w:pStyle w:val="ListParagraph"/>
        <w:numPr>
          <w:ilvl w:val="0"/>
          <w:numId w:val="7"/>
        </w:numPr>
        <w:ind w:left="714" w:hanging="357"/>
        <w:rPr>
          <w:rFonts w:cs="Arial"/>
          <w:lang w:eastAsia="en-AU"/>
        </w:rPr>
      </w:pPr>
      <w:r w:rsidRPr="00703E86">
        <w:rPr>
          <w:rFonts w:cs="Arial"/>
          <w:lang w:eastAsia="en-AU"/>
        </w:rPr>
        <w:t xml:space="preserve">protect an accused’s rights in criminal proceedings by ensuring that the prosecution case against the accused is adequately disclosed; </w:t>
      </w:r>
    </w:p>
    <w:p w14:paraId="5A213B8B" w14:textId="71C59755" w:rsidR="002A0F90" w:rsidRPr="00703E86" w:rsidRDefault="002A0F90" w:rsidP="003D4AF1">
      <w:pPr>
        <w:pStyle w:val="ListParagraph"/>
        <w:numPr>
          <w:ilvl w:val="0"/>
          <w:numId w:val="7"/>
        </w:numPr>
        <w:ind w:left="714" w:hanging="357"/>
        <w:rPr>
          <w:rFonts w:cs="Arial"/>
          <w:lang w:eastAsia="en-AU"/>
        </w:rPr>
      </w:pPr>
      <w:r w:rsidRPr="00703E86">
        <w:rPr>
          <w:rFonts w:cs="Arial"/>
          <w:lang w:eastAsia="en-AU"/>
        </w:rPr>
        <w:t xml:space="preserve">expedite </w:t>
      </w:r>
      <w:r w:rsidR="00584E61">
        <w:rPr>
          <w:rFonts w:cs="Arial"/>
          <w:lang w:eastAsia="en-AU"/>
        </w:rPr>
        <w:t>any</w:t>
      </w:r>
      <w:r w:rsidR="00584E61" w:rsidRPr="00703E86">
        <w:rPr>
          <w:rFonts w:cs="Arial"/>
          <w:lang w:eastAsia="en-AU"/>
        </w:rPr>
        <w:t xml:space="preserve"> </w:t>
      </w:r>
      <w:r w:rsidRPr="00703E86">
        <w:rPr>
          <w:rFonts w:cs="Arial"/>
          <w:lang w:eastAsia="en-AU"/>
        </w:rPr>
        <w:t xml:space="preserve">subsequent criminal trial processes by narrowing and </w:t>
      </w:r>
      <w:r w:rsidR="00B229E2">
        <w:rPr>
          <w:rFonts w:cs="Arial"/>
          <w:lang w:eastAsia="en-AU"/>
        </w:rPr>
        <w:t>defining</w:t>
      </w:r>
      <w:r w:rsidRPr="00703E86">
        <w:rPr>
          <w:rFonts w:cs="Arial"/>
          <w:lang w:eastAsia="en-AU"/>
        </w:rPr>
        <w:t xml:space="preserve"> the issues in contention;</w:t>
      </w:r>
    </w:p>
    <w:p w14:paraId="47F61834" w14:textId="13B53BD5" w:rsidR="002A0F90" w:rsidRPr="00703E86" w:rsidRDefault="002A0F90" w:rsidP="003D4AF1">
      <w:pPr>
        <w:pStyle w:val="ListParagraph"/>
        <w:numPr>
          <w:ilvl w:val="0"/>
          <w:numId w:val="7"/>
        </w:numPr>
        <w:ind w:left="714" w:hanging="357"/>
        <w:rPr>
          <w:rFonts w:cs="Arial"/>
          <w:lang w:eastAsia="en-AU"/>
        </w:rPr>
      </w:pPr>
      <w:r w:rsidRPr="00703E86">
        <w:rPr>
          <w:rFonts w:cs="Arial"/>
          <w:lang w:eastAsia="en-AU"/>
        </w:rPr>
        <w:t xml:space="preserve">ensure that the evidence of complainants and witnesses is tested only on relevant and confined matters and in an appropriate manner; </w:t>
      </w:r>
    </w:p>
    <w:p w14:paraId="470B56CF" w14:textId="13B53BD5" w:rsidR="002A0F90" w:rsidRPr="00703E86" w:rsidRDefault="002A0F90" w:rsidP="003D4AF1">
      <w:pPr>
        <w:pStyle w:val="ListParagraph"/>
        <w:numPr>
          <w:ilvl w:val="0"/>
          <w:numId w:val="7"/>
        </w:numPr>
        <w:ind w:left="714" w:hanging="357"/>
        <w:rPr>
          <w:rFonts w:cs="Arial"/>
          <w:lang w:eastAsia="en-AU"/>
        </w:rPr>
      </w:pPr>
      <w:r w:rsidRPr="00703E86">
        <w:rPr>
          <w:rFonts w:cs="Arial"/>
          <w:lang w:eastAsia="en-AU"/>
        </w:rPr>
        <w:t>give both parties enough time to adequately prepare and present their case in an efficient and economic manner if it does proceed to trial</w:t>
      </w:r>
      <w:r w:rsidRPr="00703E86" w:rsidDel="008468EB">
        <w:rPr>
          <w:rFonts w:cs="Arial"/>
          <w:lang w:eastAsia="en-AU"/>
        </w:rPr>
        <w:t>.</w:t>
      </w:r>
    </w:p>
    <w:p w14:paraId="4D788BA0" w14:textId="02791DFD" w:rsidR="00F9673C" w:rsidRPr="00AE7E09" w:rsidRDefault="00F9673C" w:rsidP="009F6760">
      <w:pPr>
        <w:pStyle w:val="VLADocumentText"/>
      </w:pPr>
      <w:r>
        <w:t>T</w:t>
      </w:r>
      <w:r w:rsidRPr="004777FA">
        <w:t xml:space="preserve">ime spent on a </w:t>
      </w:r>
      <w:r>
        <w:t>well-</w:t>
      </w:r>
      <w:r w:rsidRPr="004777FA">
        <w:t xml:space="preserve">run committal </w:t>
      </w:r>
      <w:r>
        <w:t>will</w:t>
      </w:r>
      <w:r w:rsidRPr="004777FA">
        <w:t xml:space="preserve"> </w:t>
      </w:r>
      <w:r>
        <w:t xml:space="preserve">often </w:t>
      </w:r>
      <w:r w:rsidRPr="004777FA">
        <w:t xml:space="preserve">be recouped </w:t>
      </w:r>
      <w:r>
        <w:t xml:space="preserve">with </w:t>
      </w:r>
      <w:r w:rsidRPr="004777FA">
        <w:t>trial</w:t>
      </w:r>
      <w:r>
        <w:t>s</w:t>
      </w:r>
      <w:r w:rsidRPr="004777FA">
        <w:t xml:space="preserve"> being avoided altogether because material produced </w:t>
      </w:r>
      <w:r>
        <w:t xml:space="preserve">or the quality (either good </w:t>
      </w:r>
      <w:r w:rsidR="00DE4736">
        <w:t xml:space="preserve">or </w:t>
      </w:r>
      <w:r>
        <w:t>bad) of a witness’s evidence</w:t>
      </w:r>
      <w:r w:rsidRPr="004777FA">
        <w:t xml:space="preserve"> prompts the entry of a guilty plea</w:t>
      </w:r>
      <w:r>
        <w:t>,</w:t>
      </w:r>
      <w:r w:rsidRPr="004777FA">
        <w:t xml:space="preserve"> a discharge, </w:t>
      </w:r>
      <w:r>
        <w:t xml:space="preserve">later discontinuance or a remittal to be </w:t>
      </w:r>
      <w:r w:rsidRPr="004777FA">
        <w:t>heard summarily.</w:t>
      </w:r>
      <w:r>
        <w:t xml:space="preserve"> According to the Office of Public Prosecution’s Annual Report 2017-2018, 79.4</w:t>
      </w:r>
      <w:r w:rsidR="005954CD">
        <w:t xml:space="preserve"> per cent</w:t>
      </w:r>
      <w:r>
        <w:t xml:space="preserve"> </w:t>
      </w:r>
      <w:r w:rsidR="00D64CE3">
        <w:t xml:space="preserve">of the guilty pleas achieved that year </w:t>
      </w:r>
      <w:r>
        <w:t>were achieved through committal proceedings.</w:t>
      </w:r>
      <w:bookmarkStart w:id="5" w:name="_Ref17119334"/>
      <w:r>
        <w:rPr>
          <w:rStyle w:val="FootnoteReference"/>
        </w:rPr>
        <w:footnoteReference w:id="3"/>
      </w:r>
      <w:bookmarkEnd w:id="5"/>
      <w:r w:rsidR="00073140">
        <w:t xml:space="preserve"> </w:t>
      </w:r>
    </w:p>
    <w:p w14:paraId="5000BD56" w14:textId="2EBC1A78" w:rsidR="002A0F90" w:rsidRPr="003117CD" w:rsidRDefault="002A0F90" w:rsidP="002A0F90">
      <w:pPr>
        <w:pStyle w:val="VLADocumentText"/>
        <w:rPr>
          <w:rFonts w:cs="Arial"/>
          <w:lang w:eastAsia="en-AU"/>
        </w:rPr>
      </w:pPr>
      <w:r w:rsidRPr="003117CD">
        <w:rPr>
          <w:rFonts w:cs="Arial"/>
          <w:lang w:eastAsia="en-AU"/>
        </w:rPr>
        <w:t>These benefits cannot be achieved if committal proceedings</w:t>
      </w:r>
      <w:r w:rsidR="003117CD">
        <w:rPr>
          <w:rFonts w:cs="Arial"/>
          <w:lang w:eastAsia="en-AU"/>
        </w:rPr>
        <w:t xml:space="preserve"> </w:t>
      </w:r>
      <w:r w:rsidRPr="003117CD">
        <w:rPr>
          <w:rFonts w:cs="Arial"/>
          <w:lang w:eastAsia="en-AU"/>
        </w:rPr>
        <w:t xml:space="preserve">are not well prepared and well managed. In our experience, </w:t>
      </w:r>
      <w:r w:rsidR="00E84AC9">
        <w:rPr>
          <w:rFonts w:cs="Arial"/>
          <w:lang w:eastAsia="en-AU"/>
        </w:rPr>
        <w:t>w</w:t>
      </w:r>
      <w:r w:rsidRPr="003117CD">
        <w:rPr>
          <w:rFonts w:cs="Arial"/>
          <w:lang w:eastAsia="en-AU"/>
        </w:rPr>
        <w:t>hile a well</w:t>
      </w:r>
      <w:r w:rsidR="0000031F">
        <w:rPr>
          <w:rFonts w:cs="Arial"/>
          <w:lang w:eastAsia="en-AU"/>
        </w:rPr>
        <w:t>-</w:t>
      </w:r>
      <w:r w:rsidRPr="003117CD">
        <w:rPr>
          <w:rFonts w:cs="Arial"/>
          <w:lang w:eastAsia="en-AU"/>
        </w:rPr>
        <w:t>run committal paves the way for an efficient and well</w:t>
      </w:r>
      <w:r w:rsidR="0000031F">
        <w:rPr>
          <w:rFonts w:cs="Arial"/>
          <w:lang w:eastAsia="en-AU"/>
        </w:rPr>
        <w:t>-</w:t>
      </w:r>
      <w:r w:rsidRPr="003117CD">
        <w:rPr>
          <w:rFonts w:cs="Arial"/>
          <w:lang w:eastAsia="en-AU"/>
        </w:rPr>
        <w:t xml:space="preserve">prepared trial or resolution. Conversely a poorly run committal does not and can cause </w:t>
      </w:r>
      <w:r w:rsidRPr="003117CD">
        <w:rPr>
          <w:rFonts w:cs="Arial"/>
          <w:lang w:eastAsia="en-AU"/>
        </w:rPr>
        <w:lastRenderedPageBreak/>
        <w:t>unnecessary distress to complainants and witnesses before the trial.</w:t>
      </w:r>
      <w:r w:rsidR="00177B8D">
        <w:rPr>
          <w:rFonts w:cs="Arial"/>
          <w:lang w:eastAsia="en-AU"/>
        </w:rPr>
        <w:t xml:space="preserve"> For this reason we make recommendations to improve the current system. </w:t>
      </w:r>
    </w:p>
    <w:p w14:paraId="64745CF6" w14:textId="0FB850B9" w:rsidR="00177B8D" w:rsidRDefault="00177B8D" w:rsidP="00177B8D">
      <w:pPr>
        <w:pStyle w:val="VLADocumentText"/>
        <w:rPr>
          <w:rFonts w:cs="Arial"/>
          <w:color w:val="000000"/>
          <w:shd w:val="clear" w:color="auto" w:fill="FFFFFF"/>
        </w:rPr>
      </w:pPr>
      <w:r>
        <w:rPr>
          <w:rFonts w:cs="Arial"/>
          <w:color w:val="000000"/>
          <w:shd w:val="clear" w:color="auto" w:fill="FFFFFF"/>
        </w:rPr>
        <w:t xml:space="preserve">Moving pre-trial proceedings from the Magistrates’ Court to the higher courts may appear to </w:t>
      </w:r>
      <w:r w:rsidR="003A7FCD">
        <w:rPr>
          <w:rFonts w:cs="Arial"/>
          <w:color w:val="000000"/>
          <w:shd w:val="clear" w:color="auto" w:fill="FFFFFF"/>
        </w:rPr>
        <w:t>be</w:t>
      </w:r>
      <w:r>
        <w:rPr>
          <w:rFonts w:cs="Arial"/>
          <w:color w:val="000000"/>
          <w:shd w:val="clear" w:color="auto" w:fill="FFFFFF"/>
        </w:rPr>
        <w:t xml:space="preserve"> a straightforward step that would reduce delays and make effectiv</w:t>
      </w:r>
      <w:r w:rsidR="0000031F">
        <w:rPr>
          <w:rFonts w:cs="Arial"/>
          <w:color w:val="000000"/>
          <w:shd w:val="clear" w:color="auto" w:fill="FFFFFF"/>
        </w:rPr>
        <w:t>e</w:t>
      </w:r>
      <w:r>
        <w:rPr>
          <w:rFonts w:cs="Arial"/>
          <w:color w:val="000000"/>
          <w:shd w:val="clear" w:color="auto" w:fill="FFFFFF"/>
        </w:rPr>
        <w:t xml:space="preserve"> management of criminal proceedings </w:t>
      </w:r>
      <w:r w:rsidR="00DE31F0">
        <w:rPr>
          <w:rFonts w:cs="Arial"/>
          <w:color w:val="000000"/>
          <w:shd w:val="clear" w:color="auto" w:fill="FFFFFF"/>
        </w:rPr>
        <w:t>simpler</w:t>
      </w:r>
      <w:r>
        <w:rPr>
          <w:rFonts w:cs="Arial"/>
          <w:color w:val="000000"/>
          <w:shd w:val="clear" w:color="auto" w:fill="FFFFFF"/>
        </w:rPr>
        <w:t xml:space="preserve">. However, in our submission such a move would </w:t>
      </w:r>
      <w:r w:rsidRPr="006E688C">
        <w:rPr>
          <w:rFonts w:cs="Arial"/>
          <w:color w:val="000000"/>
          <w:shd w:val="clear" w:color="auto" w:fill="FFFFFF"/>
        </w:rPr>
        <w:t xml:space="preserve">be </w:t>
      </w:r>
      <w:r>
        <w:rPr>
          <w:rFonts w:cs="Arial"/>
          <w:color w:val="000000"/>
          <w:shd w:val="clear" w:color="auto" w:fill="FFFFFF"/>
        </w:rPr>
        <w:t xml:space="preserve">tremendously </w:t>
      </w:r>
      <w:r w:rsidRPr="006E688C">
        <w:rPr>
          <w:rFonts w:cs="Arial"/>
          <w:color w:val="000000"/>
          <w:shd w:val="clear" w:color="auto" w:fill="FFFFFF"/>
        </w:rPr>
        <w:t>expensive</w:t>
      </w:r>
      <w:r>
        <w:rPr>
          <w:rFonts w:cs="Arial"/>
          <w:color w:val="000000"/>
          <w:shd w:val="clear" w:color="auto" w:fill="FFFFFF"/>
        </w:rPr>
        <w:t xml:space="preserve"> and require significant change in the higher courts. The experience of similar committal reform in other </w:t>
      </w:r>
      <w:r w:rsidRPr="006E688C">
        <w:rPr>
          <w:rFonts w:cs="Arial"/>
          <w:color w:val="000000"/>
          <w:shd w:val="clear" w:color="auto" w:fill="FFFFFF"/>
        </w:rPr>
        <w:t>jurisdictions tend</w:t>
      </w:r>
      <w:r>
        <w:rPr>
          <w:rFonts w:cs="Arial"/>
          <w:color w:val="000000"/>
          <w:shd w:val="clear" w:color="auto" w:fill="FFFFFF"/>
        </w:rPr>
        <w:t>s</w:t>
      </w:r>
      <w:r w:rsidRPr="006E688C">
        <w:rPr>
          <w:rFonts w:cs="Arial"/>
          <w:color w:val="000000"/>
          <w:shd w:val="clear" w:color="auto" w:fill="FFFFFF"/>
        </w:rPr>
        <w:t xml:space="preserve"> to suggest that th</w:t>
      </w:r>
      <w:r>
        <w:rPr>
          <w:rFonts w:cs="Arial"/>
          <w:color w:val="000000"/>
          <w:shd w:val="clear" w:color="auto" w:fill="FFFFFF"/>
        </w:rPr>
        <w:t xml:space="preserve">is does not result in </w:t>
      </w:r>
      <w:r w:rsidRPr="006E688C">
        <w:rPr>
          <w:rFonts w:cs="Arial"/>
          <w:color w:val="000000"/>
          <w:shd w:val="clear" w:color="auto" w:fill="FFFFFF"/>
        </w:rPr>
        <w:t xml:space="preserve">significant </w:t>
      </w:r>
      <w:r w:rsidR="00C82579">
        <w:rPr>
          <w:rFonts w:cs="Arial"/>
          <w:color w:val="000000"/>
          <w:shd w:val="clear" w:color="auto" w:fill="FFFFFF"/>
        </w:rPr>
        <w:t>improvements</w:t>
      </w:r>
      <w:r w:rsidR="00BC3A9F">
        <w:rPr>
          <w:rFonts w:cs="Arial"/>
          <w:color w:val="000000"/>
          <w:shd w:val="clear" w:color="auto" w:fill="FFFFFF"/>
        </w:rPr>
        <w:t xml:space="preserve"> </w:t>
      </w:r>
      <w:r w:rsidR="00C82579">
        <w:rPr>
          <w:rFonts w:cs="Arial"/>
          <w:color w:val="000000"/>
          <w:shd w:val="clear" w:color="auto" w:fill="FFFFFF"/>
        </w:rPr>
        <w:t xml:space="preserve">in </w:t>
      </w:r>
      <w:r>
        <w:rPr>
          <w:rFonts w:cs="Arial"/>
          <w:color w:val="000000"/>
          <w:shd w:val="clear" w:color="auto" w:fill="FFFFFF"/>
        </w:rPr>
        <w:t xml:space="preserve">efficiency or </w:t>
      </w:r>
      <w:r w:rsidR="007B2839">
        <w:rPr>
          <w:rFonts w:cs="Arial"/>
          <w:color w:val="000000"/>
          <w:shd w:val="clear" w:color="auto" w:fill="FFFFFF"/>
        </w:rPr>
        <w:t xml:space="preserve">reductions in </w:t>
      </w:r>
      <w:r>
        <w:rPr>
          <w:rFonts w:cs="Arial"/>
          <w:color w:val="000000"/>
          <w:shd w:val="clear" w:color="auto" w:fill="FFFFFF"/>
        </w:rPr>
        <w:t xml:space="preserve">delay. </w:t>
      </w:r>
    </w:p>
    <w:p w14:paraId="0027AF31" w14:textId="2CFD8F44" w:rsidR="00177B8D" w:rsidRDefault="00177B8D" w:rsidP="00177B8D">
      <w:pPr>
        <w:pStyle w:val="VLADocumentText"/>
        <w:rPr>
          <w:rFonts w:cs="Arial"/>
          <w:color w:val="000000"/>
          <w:shd w:val="clear" w:color="auto" w:fill="FFFFFF"/>
        </w:rPr>
      </w:pPr>
      <w:r w:rsidRPr="006E688C">
        <w:rPr>
          <w:rFonts w:cs="Arial"/>
          <w:color w:val="000000"/>
          <w:shd w:val="clear" w:color="auto" w:fill="FFFFFF"/>
        </w:rPr>
        <w:t>There</w:t>
      </w:r>
      <w:r>
        <w:rPr>
          <w:rFonts w:cs="Arial"/>
          <w:color w:val="000000"/>
          <w:shd w:val="clear" w:color="auto" w:fill="FFFFFF"/>
        </w:rPr>
        <w:t xml:space="preserve"> is</w:t>
      </w:r>
      <w:r w:rsidRPr="006E688C">
        <w:rPr>
          <w:rFonts w:cs="Arial"/>
          <w:color w:val="000000"/>
          <w:shd w:val="clear" w:color="auto" w:fill="FFFFFF"/>
        </w:rPr>
        <w:t xml:space="preserve"> a real risk </w:t>
      </w:r>
      <w:r>
        <w:rPr>
          <w:rFonts w:cs="Arial"/>
          <w:color w:val="000000"/>
          <w:shd w:val="clear" w:color="auto" w:fill="FFFFFF"/>
        </w:rPr>
        <w:t xml:space="preserve">that, especially without adequate investment, </w:t>
      </w:r>
      <w:r w:rsidRPr="006E688C">
        <w:rPr>
          <w:rFonts w:cs="Arial"/>
          <w:color w:val="000000"/>
          <w:shd w:val="clear" w:color="auto" w:fill="FFFFFF"/>
        </w:rPr>
        <w:t xml:space="preserve">the </w:t>
      </w:r>
      <w:r>
        <w:rPr>
          <w:rFonts w:cs="Arial"/>
          <w:color w:val="000000"/>
          <w:shd w:val="clear" w:color="auto" w:fill="FFFFFF"/>
        </w:rPr>
        <w:t xml:space="preserve">early </w:t>
      </w:r>
      <w:r w:rsidRPr="006E688C">
        <w:rPr>
          <w:rFonts w:cs="Arial"/>
          <w:color w:val="000000"/>
          <w:shd w:val="clear" w:color="auto" w:fill="FFFFFF"/>
        </w:rPr>
        <w:t xml:space="preserve">resolution rate will reduce and </w:t>
      </w:r>
      <w:r>
        <w:rPr>
          <w:rFonts w:cs="Arial"/>
          <w:color w:val="000000"/>
          <w:shd w:val="clear" w:color="auto" w:fill="FFFFFF"/>
        </w:rPr>
        <w:t xml:space="preserve">there will be greater delays in the finalisation of indictable matters and an increase in </w:t>
      </w:r>
      <w:r w:rsidR="008A09A1">
        <w:rPr>
          <w:rFonts w:cs="Arial"/>
          <w:color w:val="000000"/>
          <w:shd w:val="clear" w:color="auto" w:fill="FFFFFF"/>
        </w:rPr>
        <w:t xml:space="preserve">the </w:t>
      </w:r>
      <w:r>
        <w:rPr>
          <w:rFonts w:cs="Arial"/>
          <w:color w:val="000000"/>
          <w:shd w:val="clear" w:color="auto" w:fill="FFFFFF"/>
        </w:rPr>
        <w:t xml:space="preserve">number of trials in which victims of crime are required to give evidence. </w:t>
      </w:r>
      <w:r w:rsidR="007E7A66">
        <w:rPr>
          <w:rFonts w:cs="Arial"/>
          <w:color w:val="000000"/>
          <w:shd w:val="clear" w:color="auto" w:fill="FFFFFF"/>
        </w:rPr>
        <w:t xml:space="preserve">There would be particular challenges in this regard in regional areas with limited presence of higher courts. </w:t>
      </w:r>
      <w:r>
        <w:rPr>
          <w:rFonts w:cs="Arial"/>
          <w:color w:val="000000"/>
          <w:shd w:val="clear" w:color="auto" w:fill="FFFFFF"/>
        </w:rPr>
        <w:t>In our submission, i</w:t>
      </w:r>
      <w:r w:rsidRPr="006E688C">
        <w:rPr>
          <w:rFonts w:cs="Arial"/>
          <w:color w:val="000000"/>
          <w:shd w:val="clear" w:color="auto" w:fill="FFFFFF"/>
        </w:rPr>
        <w:t>f</w:t>
      </w:r>
      <w:r>
        <w:rPr>
          <w:rFonts w:cs="Arial"/>
          <w:color w:val="000000"/>
          <w:shd w:val="clear" w:color="auto" w:fill="FFFFFF"/>
        </w:rPr>
        <w:t xml:space="preserve"> the same funds were instead invested </w:t>
      </w:r>
      <w:r w:rsidRPr="006E688C">
        <w:rPr>
          <w:rFonts w:cs="Arial"/>
          <w:color w:val="000000"/>
          <w:shd w:val="clear" w:color="auto" w:fill="FFFFFF"/>
        </w:rPr>
        <w:t xml:space="preserve">in </w:t>
      </w:r>
      <w:r>
        <w:rPr>
          <w:rFonts w:cs="Arial"/>
          <w:color w:val="000000"/>
          <w:shd w:val="clear" w:color="auto" w:fill="FFFFFF"/>
        </w:rPr>
        <w:t xml:space="preserve">resourcing agencies and </w:t>
      </w:r>
      <w:r w:rsidRPr="006E688C">
        <w:rPr>
          <w:rFonts w:cs="Arial"/>
          <w:color w:val="000000"/>
          <w:shd w:val="clear" w:color="auto" w:fill="FFFFFF"/>
        </w:rPr>
        <w:t xml:space="preserve">improving current </w:t>
      </w:r>
      <w:r>
        <w:rPr>
          <w:rFonts w:cs="Arial"/>
          <w:color w:val="000000"/>
          <w:shd w:val="clear" w:color="auto" w:fill="FFFFFF"/>
        </w:rPr>
        <w:t xml:space="preserve">systems, </w:t>
      </w:r>
      <w:r w:rsidRPr="006E688C">
        <w:rPr>
          <w:rFonts w:cs="Arial"/>
          <w:color w:val="000000"/>
          <w:shd w:val="clear" w:color="auto" w:fill="FFFFFF"/>
        </w:rPr>
        <w:t xml:space="preserve">it would have a much greater </w:t>
      </w:r>
      <w:r>
        <w:rPr>
          <w:rFonts w:cs="Arial"/>
          <w:color w:val="000000"/>
          <w:shd w:val="clear" w:color="auto" w:fill="FFFFFF"/>
        </w:rPr>
        <w:t xml:space="preserve">positive impact on efficiency, speed of finalisation, and the experience of victims in the pre-trial process. </w:t>
      </w:r>
    </w:p>
    <w:p w14:paraId="60300374" w14:textId="6AB4154D" w:rsidR="00443B17" w:rsidRPr="00443B17" w:rsidRDefault="009C5D0C" w:rsidP="00467064">
      <w:pPr>
        <w:pStyle w:val="VLADocumentText"/>
      </w:pPr>
      <w:r w:rsidRPr="00A14281">
        <w:t>VLA recognises</w:t>
      </w:r>
      <w:r w:rsidRPr="00A14281" w:rsidDel="00BC3B05">
        <w:t xml:space="preserve"> </w:t>
      </w:r>
      <w:r w:rsidRPr="00A14281">
        <w:t xml:space="preserve">that </w:t>
      </w:r>
      <w:r>
        <w:t>victims</w:t>
      </w:r>
      <w:r w:rsidRPr="00A14281">
        <w:t xml:space="preserve"> and witnesses to criminal acts may experience physical or psychological trauma. This observation arises directly from our experience representing victims of family violence as well as </w:t>
      </w:r>
      <w:r w:rsidRPr="00B65000">
        <w:t>criminal clients, who frequently have themselves been victims of crime</w:t>
      </w:r>
      <w:r w:rsidR="00501C36">
        <w:t xml:space="preserve">. </w:t>
      </w:r>
      <w:r w:rsidR="00121EA4">
        <w:t xml:space="preserve">We acknowledge </w:t>
      </w:r>
      <w:r w:rsidR="00121EA4" w:rsidRPr="00A14281">
        <w:t>that giving evidence in court, especially cross-examination</w:t>
      </w:r>
      <w:r w:rsidR="00F81A9F">
        <w:t>,</w:t>
      </w:r>
      <w:r w:rsidR="00121EA4" w:rsidRPr="00A14281">
        <w:t xml:space="preserve"> </w:t>
      </w:r>
      <w:r w:rsidR="00121EA4">
        <w:t xml:space="preserve">can be </w:t>
      </w:r>
      <w:r w:rsidR="00121EA4" w:rsidRPr="00A14281">
        <w:t>traumatic and intimidating</w:t>
      </w:r>
      <w:r w:rsidR="008B6012">
        <w:t>,</w:t>
      </w:r>
      <w:r w:rsidR="00121EA4">
        <w:t xml:space="preserve"> and</w:t>
      </w:r>
      <w:r w:rsidR="005408D3">
        <w:t xml:space="preserve"> support measures to improve the experience of victims and other witnesses</w:t>
      </w:r>
      <w:r w:rsidR="00121EA4">
        <w:t>, particularly vulnerable victims and witnesses</w:t>
      </w:r>
      <w:r w:rsidR="005408D3">
        <w:t xml:space="preserve"> who are required to give evidence throughout the criminal process. </w:t>
      </w:r>
    </w:p>
    <w:p w14:paraId="15DCFA60" w14:textId="4B080474" w:rsidR="00613A48" w:rsidRDefault="005408D3" w:rsidP="00613A48">
      <w:pPr>
        <w:pStyle w:val="VLADocumentText"/>
      </w:pPr>
      <w:r>
        <w:t xml:space="preserve">We note </w:t>
      </w:r>
      <w:r w:rsidR="00027528">
        <w:t xml:space="preserve">and support </w:t>
      </w:r>
      <w:r>
        <w:t xml:space="preserve">reforms made in recent years to </w:t>
      </w:r>
      <w:r w:rsidR="00027528">
        <w:t>restrict the c</w:t>
      </w:r>
      <w:r w:rsidR="00027528" w:rsidRPr="00A14281">
        <w:t xml:space="preserve">ross-examination of </w:t>
      </w:r>
      <w:r w:rsidR="00027528">
        <w:t xml:space="preserve">vulnerable complainants </w:t>
      </w:r>
      <w:r w:rsidR="00027528" w:rsidRPr="00A14281">
        <w:t>during committal proceedings.</w:t>
      </w:r>
      <w:r w:rsidR="00027528">
        <w:t xml:space="preserve"> </w:t>
      </w:r>
      <w:r w:rsidR="00D60393">
        <w:t xml:space="preserve">Application of the existing test for granting leave to cross-examine at committal, in combination with </w:t>
      </w:r>
      <w:r w:rsidR="00027528">
        <w:t>better use of existing mechanisms</w:t>
      </w:r>
      <w:r w:rsidR="008A09A1">
        <w:t>,</w:t>
      </w:r>
      <w:r w:rsidR="00AE5EC2">
        <w:t xml:space="preserve"> </w:t>
      </w:r>
      <w:r w:rsidR="00BC33BC">
        <w:t xml:space="preserve">can </w:t>
      </w:r>
      <w:r w:rsidR="00150A8E">
        <w:t xml:space="preserve">ensure that </w:t>
      </w:r>
      <w:r w:rsidR="00AE5EC2">
        <w:t>cross-examination in committal proceedings</w:t>
      </w:r>
      <w:r w:rsidR="00150A8E">
        <w:t xml:space="preserve"> is confined to relevant issues and the questioning is appropriate</w:t>
      </w:r>
      <w:r w:rsidR="0073140A">
        <w:rPr>
          <w:rFonts w:cs="Arial"/>
        </w:rPr>
        <w:t>.</w:t>
      </w:r>
      <w:r w:rsidR="0015004C">
        <w:rPr>
          <w:rFonts w:cs="Arial"/>
        </w:rPr>
        <w:t xml:space="preserve"> </w:t>
      </w:r>
      <w:r w:rsidR="00613A48" w:rsidRPr="002F27DB">
        <w:t xml:space="preserve">VLA </w:t>
      </w:r>
      <w:r w:rsidR="00FF6035">
        <w:t>also</w:t>
      </w:r>
      <w:r w:rsidR="00613A48" w:rsidRPr="002F27DB">
        <w:t xml:space="preserve"> </w:t>
      </w:r>
      <w:r w:rsidR="0015004C">
        <w:t>supports</w:t>
      </w:r>
      <w:r w:rsidR="00613A48">
        <w:t xml:space="preserve"> the expansion and greater application of a</w:t>
      </w:r>
      <w:r w:rsidR="00613A48" w:rsidRPr="002F27DB">
        <w:t xml:space="preserve">lternatives </w:t>
      </w:r>
      <w:r w:rsidR="00613A48">
        <w:t>processes</w:t>
      </w:r>
      <w:r w:rsidR="00613A48" w:rsidRPr="002F27DB">
        <w:t xml:space="preserve"> such a</w:t>
      </w:r>
      <w:r w:rsidR="00613A48">
        <w:t>s</w:t>
      </w:r>
      <w:r w:rsidR="00613A48" w:rsidRPr="002F27DB">
        <w:t xml:space="preserve"> ground rules </w:t>
      </w:r>
      <w:r w:rsidR="00613A48">
        <w:t>hearings</w:t>
      </w:r>
      <w:r w:rsidR="00433792">
        <w:t>,</w:t>
      </w:r>
      <w:r w:rsidR="00613A48">
        <w:t xml:space="preserve"> which can establish parameters on cross-examination </w:t>
      </w:r>
      <w:r w:rsidR="00433792">
        <w:t xml:space="preserve">that </w:t>
      </w:r>
      <w:r w:rsidR="00613A48">
        <w:t xml:space="preserve">have been demonstrated to </w:t>
      </w:r>
      <w:r w:rsidR="00613A48" w:rsidRPr="002F27DB">
        <w:t>reduce the trauma for certain witnesses without diminishing fairness</w:t>
      </w:r>
      <w:r w:rsidR="00613A48">
        <w:t xml:space="preserve">. </w:t>
      </w:r>
    </w:p>
    <w:p w14:paraId="597DE581" w14:textId="233A6BD8" w:rsidR="00613A48" w:rsidRPr="00D5502B" w:rsidRDefault="0015004C" w:rsidP="00613A48">
      <w:pPr>
        <w:pStyle w:val="VLADocumentText"/>
        <w:rPr>
          <w:rFonts w:cstheme="minorBidi"/>
          <w:color w:val="000000"/>
          <w:lang w:eastAsia="en-AU"/>
        </w:rPr>
      </w:pPr>
      <w:r>
        <w:t xml:space="preserve">We do not identify other </w:t>
      </w:r>
      <w:r w:rsidR="005B40DB">
        <w:t>classes</w:t>
      </w:r>
      <w:r>
        <w:t xml:space="preserve"> of </w:t>
      </w:r>
      <w:r w:rsidR="005B40DB">
        <w:t xml:space="preserve">victims </w:t>
      </w:r>
      <w:r>
        <w:t xml:space="preserve">or witness who should be </w:t>
      </w:r>
      <w:r w:rsidR="005B40DB">
        <w:t>excluded from pre-trial examination. However, i</w:t>
      </w:r>
      <w:r w:rsidR="00613A48">
        <w:t xml:space="preserve">f the Commission takes a different view and is concerned with the impact of giving evidence at committal for particular categories of </w:t>
      </w:r>
      <w:r w:rsidR="005B40DB">
        <w:t>victims</w:t>
      </w:r>
      <w:r w:rsidR="00613A48">
        <w:t xml:space="preserve">, we </w:t>
      </w:r>
      <w:r w:rsidR="005B40DB">
        <w:t xml:space="preserve">recommend making specific provision for </w:t>
      </w:r>
      <w:r w:rsidR="00927F6F">
        <w:t>this</w:t>
      </w:r>
      <w:r w:rsidR="00613A48">
        <w:t xml:space="preserve"> </w:t>
      </w:r>
      <w:r w:rsidR="00DB70A0">
        <w:t xml:space="preserve">or </w:t>
      </w:r>
      <w:r w:rsidR="00E2197F">
        <w:t xml:space="preserve">amending the test for granting leave for cross-examination, </w:t>
      </w:r>
      <w:r w:rsidR="00613A48">
        <w:t xml:space="preserve">rather than </w:t>
      </w:r>
      <w:r w:rsidR="00927F6F">
        <w:t>abolishing committals altogether</w:t>
      </w:r>
      <w:r w:rsidR="00613A48">
        <w:t>.</w:t>
      </w:r>
    </w:p>
    <w:bookmarkEnd w:id="3"/>
    <w:p w14:paraId="22D82100" w14:textId="77777777" w:rsidR="0016766D" w:rsidRDefault="00D73986" w:rsidP="00BE2B57">
      <w:pPr>
        <w:pStyle w:val="VLADocumentText"/>
      </w:pPr>
      <w:r w:rsidRPr="00490AC1">
        <w:rPr>
          <w:rFonts w:cs="Arial"/>
          <w:color w:val="000000"/>
          <w:shd w:val="clear" w:color="auto" w:fill="FFFFFF"/>
        </w:rPr>
        <w:t>Any</w:t>
      </w:r>
      <w:r w:rsidR="00351F45" w:rsidRPr="00490AC1">
        <w:rPr>
          <w:rFonts w:cs="Arial"/>
          <w:color w:val="000000"/>
          <w:shd w:val="clear" w:color="auto" w:fill="FFFFFF"/>
        </w:rPr>
        <w:t xml:space="preserve"> reforms </w:t>
      </w:r>
      <w:r w:rsidRPr="00490AC1">
        <w:rPr>
          <w:rFonts w:cs="Arial"/>
          <w:color w:val="000000"/>
          <w:shd w:val="clear" w:color="auto" w:fill="FFFFFF"/>
        </w:rPr>
        <w:t xml:space="preserve">should be </w:t>
      </w:r>
      <w:r w:rsidR="001D599F">
        <w:rPr>
          <w:rFonts w:cs="Arial"/>
          <w:color w:val="000000"/>
          <w:shd w:val="clear" w:color="auto" w:fill="FFFFFF"/>
        </w:rPr>
        <w:t xml:space="preserve">carefully tested with key </w:t>
      </w:r>
      <w:r w:rsidR="00650F5A">
        <w:rPr>
          <w:rFonts w:cs="Arial"/>
          <w:color w:val="000000"/>
          <w:shd w:val="clear" w:color="auto" w:fill="FFFFFF"/>
        </w:rPr>
        <w:t>system</w:t>
      </w:r>
      <w:r w:rsidR="001D599F">
        <w:rPr>
          <w:rFonts w:cs="Arial"/>
          <w:color w:val="000000"/>
          <w:shd w:val="clear" w:color="auto" w:fill="FFFFFF"/>
        </w:rPr>
        <w:t xml:space="preserve"> stakeholders in the course of the Commission</w:t>
      </w:r>
      <w:r w:rsidR="00141791">
        <w:rPr>
          <w:rFonts w:cs="Arial"/>
          <w:color w:val="000000"/>
          <w:shd w:val="clear" w:color="auto" w:fill="FFFFFF"/>
        </w:rPr>
        <w:t>’</w:t>
      </w:r>
      <w:r w:rsidR="001D599F">
        <w:rPr>
          <w:rFonts w:cs="Arial"/>
          <w:color w:val="000000"/>
          <w:shd w:val="clear" w:color="auto" w:fill="FFFFFF"/>
        </w:rPr>
        <w:t xml:space="preserve">s considerations, and should be </w:t>
      </w:r>
      <w:r w:rsidR="00351F45" w:rsidRPr="00490AC1">
        <w:rPr>
          <w:rFonts w:cs="Arial"/>
          <w:color w:val="000000"/>
          <w:shd w:val="clear" w:color="auto" w:fill="FFFFFF"/>
        </w:rPr>
        <w:t>evaluat</w:t>
      </w:r>
      <w:r w:rsidRPr="00490AC1">
        <w:rPr>
          <w:rFonts w:cs="Arial"/>
          <w:color w:val="000000"/>
          <w:shd w:val="clear" w:color="auto" w:fill="FFFFFF"/>
        </w:rPr>
        <w:t>ed</w:t>
      </w:r>
      <w:r w:rsidR="00351F45" w:rsidRPr="00490AC1">
        <w:rPr>
          <w:rFonts w:cs="Arial"/>
          <w:color w:val="000000"/>
          <w:shd w:val="clear" w:color="auto" w:fill="FFFFFF"/>
        </w:rPr>
        <w:t xml:space="preserve"> after three years, to assess the impact </w:t>
      </w:r>
      <w:r w:rsidRPr="00490AC1">
        <w:rPr>
          <w:rFonts w:cs="Arial"/>
          <w:color w:val="000000"/>
          <w:shd w:val="clear" w:color="auto" w:fill="FFFFFF"/>
        </w:rPr>
        <w:t xml:space="preserve">of the reforms </w:t>
      </w:r>
      <w:r w:rsidR="00351F45" w:rsidRPr="00490AC1">
        <w:rPr>
          <w:rFonts w:cs="Arial"/>
          <w:color w:val="000000"/>
          <w:shd w:val="clear" w:color="auto" w:fill="FFFFFF"/>
        </w:rPr>
        <w:t xml:space="preserve">on system efficiency, resourcing, </w:t>
      </w:r>
      <w:r w:rsidRPr="00490AC1">
        <w:rPr>
          <w:rFonts w:cs="Arial"/>
          <w:color w:val="000000"/>
          <w:shd w:val="clear" w:color="auto" w:fill="FFFFFF"/>
        </w:rPr>
        <w:t xml:space="preserve">and </w:t>
      </w:r>
      <w:r w:rsidR="00351F45" w:rsidRPr="00490AC1">
        <w:rPr>
          <w:rFonts w:cs="Arial"/>
          <w:color w:val="000000"/>
          <w:shd w:val="clear" w:color="auto" w:fill="FFFFFF"/>
        </w:rPr>
        <w:t>victim</w:t>
      </w:r>
      <w:r w:rsidRPr="00490AC1">
        <w:rPr>
          <w:rFonts w:cs="Arial"/>
          <w:color w:val="000000"/>
          <w:shd w:val="clear" w:color="auto" w:fill="FFFFFF"/>
        </w:rPr>
        <w:t>s’</w:t>
      </w:r>
      <w:r w:rsidR="00351F45" w:rsidRPr="00490AC1">
        <w:rPr>
          <w:rFonts w:cs="Arial"/>
          <w:color w:val="000000"/>
          <w:shd w:val="clear" w:color="auto" w:fill="FFFFFF"/>
        </w:rPr>
        <w:t xml:space="preserve"> experience. Establishing a strong baseline of data, and filling existing gaps in available data, will be essential to the evaluation process.</w:t>
      </w:r>
      <w:r w:rsidR="00351F45" w:rsidRPr="00490AC1">
        <w:rPr>
          <w:rFonts w:cs="Arial"/>
          <w:lang w:eastAsia="en-AU"/>
        </w:rPr>
        <w:t xml:space="preserve"> </w:t>
      </w:r>
    </w:p>
    <w:p w14:paraId="1AF679E8" w14:textId="0FFC5399" w:rsidR="00EA6842" w:rsidRPr="00F3288A" w:rsidRDefault="00EA6842" w:rsidP="00EA6842">
      <w:pPr>
        <w:pStyle w:val="Heading1"/>
      </w:pPr>
      <w:bookmarkStart w:id="6" w:name="_Toc17050653"/>
      <w:bookmarkStart w:id="7" w:name="_Toc17155068"/>
      <w:r w:rsidRPr="00F3288A">
        <w:lastRenderedPageBreak/>
        <w:t xml:space="preserve">List of </w:t>
      </w:r>
      <w:r w:rsidR="008E314D" w:rsidRPr="00F3288A">
        <w:t xml:space="preserve">key </w:t>
      </w:r>
      <w:r w:rsidRPr="00F3288A">
        <w:t>recommend</w:t>
      </w:r>
      <w:r w:rsidR="009D2E6B" w:rsidRPr="00F3288A">
        <w:t>ations</w:t>
      </w:r>
      <w:bookmarkEnd w:id="6"/>
      <w:bookmarkEnd w:id="7"/>
    </w:p>
    <w:p w14:paraId="431F3A35" w14:textId="69443DC5" w:rsidR="0051463C" w:rsidRPr="00F3288A" w:rsidRDefault="007D6671" w:rsidP="00BC6AFB">
      <w:pPr>
        <w:pStyle w:val="ListParagraph"/>
        <w:numPr>
          <w:ilvl w:val="0"/>
          <w:numId w:val="21"/>
        </w:numPr>
        <w:rPr>
          <w:rFonts w:cs="Arial"/>
        </w:rPr>
      </w:pPr>
      <w:r w:rsidRPr="00F3288A">
        <w:rPr>
          <w:rFonts w:cs="Arial"/>
          <w:szCs w:val="22"/>
        </w:rPr>
        <w:t xml:space="preserve">The existing purposes in the </w:t>
      </w:r>
      <w:r w:rsidR="00D23945" w:rsidRPr="00F3288A">
        <w:rPr>
          <w:i/>
        </w:rPr>
        <w:t>Criminal Procedure Act 2009</w:t>
      </w:r>
      <w:r w:rsidR="00D23945" w:rsidRPr="00F3288A">
        <w:t xml:space="preserve"> </w:t>
      </w:r>
      <w:r w:rsidRPr="00F3288A">
        <w:rPr>
          <w:rFonts w:cs="Arial"/>
          <w:szCs w:val="22"/>
        </w:rPr>
        <w:t>should be amended to include the additional purposes of facilitating early resolution, and providing independent consideration of the prosecution case</w:t>
      </w:r>
      <w:r w:rsidR="00210B12" w:rsidRPr="00F3288A">
        <w:rPr>
          <w:rFonts w:cs="Arial"/>
          <w:szCs w:val="22"/>
        </w:rPr>
        <w:t xml:space="preserve">. </w:t>
      </w:r>
      <w:r w:rsidR="00210B12" w:rsidRPr="00F3288A">
        <w:rPr>
          <w:rFonts w:cs="Arial"/>
          <w:b/>
          <w:szCs w:val="22"/>
        </w:rPr>
        <w:t>(Question 1)</w:t>
      </w:r>
    </w:p>
    <w:p w14:paraId="1DEE96C4" w14:textId="10C92BD0" w:rsidR="00A36814" w:rsidRPr="00F3288A" w:rsidRDefault="00210B12" w:rsidP="00BE09B7">
      <w:pPr>
        <w:pStyle w:val="ListParagraph"/>
        <w:numPr>
          <w:ilvl w:val="0"/>
          <w:numId w:val="21"/>
        </w:numPr>
      </w:pPr>
      <w:r w:rsidRPr="00F3288A">
        <w:rPr>
          <w:rFonts w:cs="Arial"/>
        </w:rPr>
        <w:t>Improve</w:t>
      </w:r>
      <w:r w:rsidR="005C7A2B" w:rsidRPr="00F3288A">
        <w:rPr>
          <w:rFonts w:cs="Arial"/>
        </w:rPr>
        <w:t>d</w:t>
      </w:r>
      <w:r w:rsidRPr="00F3288A">
        <w:rPr>
          <w:rFonts w:cs="Arial"/>
        </w:rPr>
        <w:t xml:space="preserve"> charging practices </w:t>
      </w:r>
      <w:r w:rsidR="00F920E9" w:rsidRPr="00F3288A">
        <w:rPr>
          <w:rFonts w:cs="Arial"/>
        </w:rPr>
        <w:t>(</w:t>
      </w:r>
      <w:r w:rsidRPr="00F3288A">
        <w:rPr>
          <w:rFonts w:cs="Arial"/>
        </w:rPr>
        <w:t xml:space="preserve">including </w:t>
      </w:r>
      <w:r w:rsidR="00C6340B" w:rsidRPr="00F3288A">
        <w:rPr>
          <w:rFonts w:cs="Arial"/>
        </w:rPr>
        <w:t xml:space="preserve">addressing </w:t>
      </w:r>
      <w:r w:rsidRPr="00F3288A">
        <w:rPr>
          <w:rFonts w:cs="Arial"/>
        </w:rPr>
        <w:t>overcharging</w:t>
      </w:r>
      <w:r w:rsidR="00F920E9" w:rsidRPr="00F3288A">
        <w:rPr>
          <w:rFonts w:cs="Arial"/>
        </w:rPr>
        <w:t>)</w:t>
      </w:r>
      <w:r w:rsidRPr="00F3288A">
        <w:rPr>
          <w:rFonts w:cs="Arial"/>
        </w:rPr>
        <w:t xml:space="preserve">, oversight of charges by the prosecution, improved disclosure and better communication between parties </w:t>
      </w:r>
      <w:r w:rsidR="00A36814" w:rsidRPr="00F3288A">
        <w:rPr>
          <w:rFonts w:cs="Arial"/>
          <w:szCs w:val="22"/>
        </w:rPr>
        <w:t>w</w:t>
      </w:r>
      <w:r w:rsidR="005C7A2B" w:rsidRPr="00F3288A">
        <w:rPr>
          <w:rFonts w:cs="Arial"/>
          <w:szCs w:val="22"/>
        </w:rPr>
        <w:t>ould</w:t>
      </w:r>
      <w:r w:rsidR="00A36814" w:rsidRPr="00F3288A">
        <w:rPr>
          <w:rFonts w:cs="Arial"/>
          <w:szCs w:val="22"/>
        </w:rPr>
        <w:t xml:space="preserve"> </w:t>
      </w:r>
      <w:r w:rsidR="005C7A2B" w:rsidRPr="00F3288A">
        <w:rPr>
          <w:rFonts w:cs="Arial"/>
          <w:szCs w:val="22"/>
        </w:rPr>
        <w:t xml:space="preserve">all </w:t>
      </w:r>
      <w:r w:rsidR="00A36814" w:rsidRPr="00F3288A">
        <w:rPr>
          <w:rFonts w:cs="Arial"/>
          <w:szCs w:val="22"/>
        </w:rPr>
        <w:t xml:space="preserve">assist </w:t>
      </w:r>
      <w:r w:rsidR="005C7A2B" w:rsidRPr="00F3288A">
        <w:rPr>
          <w:rFonts w:cs="Arial"/>
          <w:szCs w:val="22"/>
        </w:rPr>
        <w:t xml:space="preserve">in </w:t>
      </w:r>
      <w:r w:rsidR="00A36814" w:rsidRPr="00F3288A">
        <w:rPr>
          <w:rFonts w:cs="Arial"/>
          <w:szCs w:val="22"/>
        </w:rPr>
        <w:t>reduc</w:t>
      </w:r>
      <w:r w:rsidR="005C7A2B" w:rsidRPr="00F3288A">
        <w:rPr>
          <w:rFonts w:cs="Arial"/>
          <w:szCs w:val="22"/>
        </w:rPr>
        <w:t>ing</w:t>
      </w:r>
      <w:r w:rsidR="00A36814" w:rsidRPr="00F3288A">
        <w:rPr>
          <w:rFonts w:cs="Arial"/>
          <w:szCs w:val="22"/>
        </w:rPr>
        <w:t xml:space="preserve"> the difference between charges that are initially filed and those that are prosecuted</w:t>
      </w:r>
      <w:r w:rsidR="006D0477" w:rsidRPr="00F3288A">
        <w:rPr>
          <w:rFonts w:cs="Arial"/>
          <w:szCs w:val="22"/>
        </w:rPr>
        <w:t>.</w:t>
      </w:r>
      <w:r w:rsidR="00A36814" w:rsidRPr="00F3288A">
        <w:rPr>
          <w:rFonts w:cs="Arial"/>
          <w:szCs w:val="22"/>
        </w:rPr>
        <w:t xml:space="preserve"> </w:t>
      </w:r>
      <w:r w:rsidR="00A36814" w:rsidRPr="00F3288A">
        <w:rPr>
          <w:b/>
        </w:rPr>
        <w:t>(Question 2</w:t>
      </w:r>
      <w:r w:rsidR="00A36814" w:rsidRPr="00F3288A">
        <w:rPr>
          <w:rFonts w:cs="Arial"/>
          <w:b/>
          <w:szCs w:val="22"/>
        </w:rPr>
        <w:t>)</w:t>
      </w:r>
    </w:p>
    <w:p w14:paraId="35BFD033" w14:textId="4BA7669D" w:rsidR="002069CC" w:rsidRPr="00F3288A" w:rsidRDefault="003C17CB" w:rsidP="00BE09B7">
      <w:pPr>
        <w:pStyle w:val="ListParagraph"/>
        <w:numPr>
          <w:ilvl w:val="0"/>
          <w:numId w:val="21"/>
        </w:numPr>
        <w:rPr>
          <w:rFonts w:cs="Arial"/>
        </w:rPr>
      </w:pPr>
      <w:r w:rsidRPr="00F3288A">
        <w:rPr>
          <w:rFonts w:cs="Arial"/>
        </w:rPr>
        <w:t xml:space="preserve">The </w:t>
      </w:r>
      <w:r w:rsidR="00A22B40" w:rsidRPr="00F3288A">
        <w:t>Office of Public Prosecution</w:t>
      </w:r>
      <w:r w:rsidRPr="00F3288A">
        <w:rPr>
          <w:rFonts w:cs="Arial"/>
        </w:rPr>
        <w:t xml:space="preserve"> should have an earlier and enhanced role in relation to determining the appropriate charges, </w:t>
      </w:r>
      <w:r w:rsidR="00E93B51" w:rsidRPr="00F3288A">
        <w:rPr>
          <w:rFonts w:cs="Arial"/>
        </w:rPr>
        <w:t>advis</w:t>
      </w:r>
      <w:r w:rsidR="00767568" w:rsidRPr="00F3288A">
        <w:rPr>
          <w:rFonts w:cs="Arial"/>
        </w:rPr>
        <w:t>ing</w:t>
      </w:r>
      <w:r w:rsidR="00E93B51" w:rsidRPr="00F3288A">
        <w:rPr>
          <w:rFonts w:cs="Arial"/>
        </w:rPr>
        <w:t xml:space="preserve"> </w:t>
      </w:r>
      <w:r w:rsidR="00BE0576" w:rsidRPr="00F3288A">
        <w:rPr>
          <w:rFonts w:cs="Arial"/>
        </w:rPr>
        <w:t>o</w:t>
      </w:r>
      <w:r w:rsidR="00767568" w:rsidRPr="00F3288A">
        <w:rPr>
          <w:rFonts w:cs="Arial"/>
        </w:rPr>
        <w:t>n</w:t>
      </w:r>
      <w:r w:rsidR="00BE0576" w:rsidRPr="00F3288A">
        <w:rPr>
          <w:rFonts w:cs="Arial"/>
        </w:rPr>
        <w:t xml:space="preserve"> the preparation of the hand up brief, </w:t>
      </w:r>
      <w:r w:rsidR="00F3783C" w:rsidRPr="00F3288A">
        <w:rPr>
          <w:rFonts w:cs="Arial"/>
        </w:rPr>
        <w:t>and certifying</w:t>
      </w:r>
      <w:r w:rsidR="00BE0576" w:rsidRPr="00F3288A">
        <w:rPr>
          <w:rFonts w:cs="Arial"/>
        </w:rPr>
        <w:t xml:space="preserve"> the charges</w:t>
      </w:r>
      <w:r w:rsidR="00260F5F" w:rsidRPr="00F3288A">
        <w:rPr>
          <w:rFonts w:cs="Arial"/>
        </w:rPr>
        <w:t xml:space="preserve">. </w:t>
      </w:r>
      <w:r w:rsidR="00260F5F" w:rsidRPr="00F3288A">
        <w:rPr>
          <w:b/>
        </w:rPr>
        <w:t>(Question 3)</w:t>
      </w:r>
      <w:r w:rsidR="00260F5F" w:rsidRPr="00F3288A">
        <w:rPr>
          <w:rFonts w:cs="Arial"/>
        </w:rPr>
        <w:t xml:space="preserve"> </w:t>
      </w:r>
    </w:p>
    <w:p w14:paraId="276C9321" w14:textId="33A7A826" w:rsidR="00FD5607" w:rsidRPr="00F3288A" w:rsidRDefault="00BF24EF" w:rsidP="00FD5607">
      <w:pPr>
        <w:pStyle w:val="ListParagraph"/>
        <w:numPr>
          <w:ilvl w:val="0"/>
          <w:numId w:val="21"/>
        </w:numPr>
        <w:rPr>
          <w:rFonts w:cs="Arial"/>
          <w:szCs w:val="22"/>
        </w:rPr>
      </w:pPr>
      <w:r w:rsidRPr="00F3288A">
        <w:rPr>
          <w:rFonts w:cs="Arial"/>
        </w:rPr>
        <w:t xml:space="preserve">Several mechanisms should be introduced to improve early and appropriate disclosure, including </w:t>
      </w:r>
      <w:r w:rsidR="00230FFB" w:rsidRPr="00F3288A">
        <w:rPr>
          <w:rFonts w:cs="Arial"/>
        </w:rPr>
        <w:t xml:space="preserve">standardised disclosure obligations </w:t>
      </w:r>
      <w:r w:rsidR="00C1508F" w:rsidRPr="00F3288A">
        <w:rPr>
          <w:rFonts w:cs="Arial"/>
        </w:rPr>
        <w:t>for all matters, m</w:t>
      </w:r>
      <w:r w:rsidR="00230FFB" w:rsidRPr="00F3288A">
        <w:rPr>
          <w:rFonts w:cs="Arial"/>
        </w:rPr>
        <w:t>andatory early disclosure conferencing to improve communication and</w:t>
      </w:r>
      <w:r w:rsidR="000D0858" w:rsidRPr="00F3288A">
        <w:rPr>
          <w:rFonts w:cs="Arial"/>
        </w:rPr>
        <w:t xml:space="preserve"> early</w:t>
      </w:r>
      <w:r w:rsidR="00230FFB" w:rsidRPr="00F3288A">
        <w:rPr>
          <w:rFonts w:cs="Arial"/>
        </w:rPr>
        <w:t xml:space="preserve"> engagement</w:t>
      </w:r>
      <w:r w:rsidR="00F26288" w:rsidRPr="00F3288A">
        <w:rPr>
          <w:rFonts w:cs="Arial"/>
        </w:rPr>
        <w:t xml:space="preserve">, </w:t>
      </w:r>
      <w:r w:rsidR="00230FFB" w:rsidRPr="00F3288A">
        <w:rPr>
          <w:rFonts w:cs="Arial"/>
        </w:rPr>
        <w:t>prosecu</w:t>
      </w:r>
      <w:r w:rsidR="00F26288" w:rsidRPr="00F3288A">
        <w:rPr>
          <w:rFonts w:cs="Arial"/>
        </w:rPr>
        <w:t>torial</w:t>
      </w:r>
      <w:r w:rsidR="00230FFB" w:rsidRPr="00F3288A">
        <w:rPr>
          <w:rFonts w:cs="Arial"/>
        </w:rPr>
        <w:t xml:space="preserve"> </w:t>
      </w:r>
      <w:r w:rsidR="00DD044C" w:rsidRPr="00F3288A">
        <w:rPr>
          <w:rFonts w:cs="Arial"/>
        </w:rPr>
        <w:t xml:space="preserve">review </w:t>
      </w:r>
      <w:r w:rsidR="00374A1D" w:rsidRPr="00F3288A">
        <w:rPr>
          <w:rFonts w:cs="Arial"/>
        </w:rPr>
        <w:t xml:space="preserve">and certification </w:t>
      </w:r>
      <w:r w:rsidR="00DD044C" w:rsidRPr="00F3288A">
        <w:rPr>
          <w:rFonts w:cs="Arial"/>
        </w:rPr>
        <w:t xml:space="preserve">of </w:t>
      </w:r>
      <w:r w:rsidR="00230FFB" w:rsidRPr="00F3288A">
        <w:rPr>
          <w:rFonts w:cs="Arial"/>
        </w:rPr>
        <w:t>disclosure</w:t>
      </w:r>
      <w:r w:rsidR="00363774" w:rsidRPr="00F3288A">
        <w:rPr>
          <w:rFonts w:cs="Arial"/>
        </w:rPr>
        <w:t>,</w:t>
      </w:r>
      <w:r w:rsidR="00230FFB" w:rsidRPr="00F3288A">
        <w:rPr>
          <w:rFonts w:cs="Arial"/>
        </w:rPr>
        <w:t xml:space="preserve"> </w:t>
      </w:r>
      <w:r w:rsidR="00363774" w:rsidRPr="00F3288A">
        <w:rPr>
          <w:rFonts w:cs="Arial"/>
        </w:rPr>
        <w:t xml:space="preserve">and enforceable mechanisms to address </w:t>
      </w:r>
      <w:r w:rsidR="00230FFB" w:rsidRPr="00F3288A">
        <w:rPr>
          <w:rFonts w:cs="Arial"/>
        </w:rPr>
        <w:t xml:space="preserve">failures to </w:t>
      </w:r>
      <w:r w:rsidR="00363774" w:rsidRPr="00F3288A">
        <w:rPr>
          <w:rFonts w:cs="Arial"/>
        </w:rPr>
        <w:t xml:space="preserve">comply with </w:t>
      </w:r>
      <w:r w:rsidR="00230FFB" w:rsidRPr="00F3288A">
        <w:rPr>
          <w:rFonts w:cs="Arial"/>
        </w:rPr>
        <w:t xml:space="preserve">disclosure </w:t>
      </w:r>
      <w:r w:rsidR="007703E0" w:rsidRPr="00F3288A">
        <w:rPr>
          <w:rFonts w:cs="Arial"/>
        </w:rPr>
        <w:t>obligations</w:t>
      </w:r>
      <w:r w:rsidR="00230FFB" w:rsidRPr="00F3288A">
        <w:rPr>
          <w:rFonts w:cs="Arial"/>
        </w:rPr>
        <w:t xml:space="preserve">. </w:t>
      </w:r>
      <w:r w:rsidR="00230FFB" w:rsidRPr="00F3288A">
        <w:rPr>
          <w:rFonts w:cs="Arial"/>
          <w:b/>
        </w:rPr>
        <w:t>(Question 4)</w:t>
      </w:r>
    </w:p>
    <w:p w14:paraId="3A7DD2F6" w14:textId="078B215E" w:rsidR="005E7AA1" w:rsidRPr="00F3288A" w:rsidRDefault="00363774" w:rsidP="00230FFB">
      <w:pPr>
        <w:pStyle w:val="ListParagraph"/>
        <w:numPr>
          <w:ilvl w:val="0"/>
          <w:numId w:val="21"/>
        </w:numPr>
        <w:rPr>
          <w:rFonts w:cs="Arial"/>
          <w:szCs w:val="22"/>
        </w:rPr>
      </w:pPr>
      <w:r w:rsidRPr="00F3288A">
        <w:rPr>
          <w:rFonts w:cs="Arial"/>
          <w:szCs w:val="22"/>
        </w:rPr>
        <w:t xml:space="preserve">Appropriate and confined </w:t>
      </w:r>
      <w:r w:rsidR="005E7AA1" w:rsidRPr="00F3288A">
        <w:rPr>
          <w:rFonts w:cs="Arial"/>
          <w:szCs w:val="22"/>
        </w:rPr>
        <w:t xml:space="preserve">pre-trial examination of witnesses should be retained. </w:t>
      </w:r>
      <w:r w:rsidRPr="00F3288A">
        <w:rPr>
          <w:rFonts w:cs="Arial"/>
          <w:szCs w:val="22"/>
        </w:rPr>
        <w:t xml:space="preserve">Victims’ participation in committal proceedings could be </w:t>
      </w:r>
      <w:r w:rsidR="00F3288A">
        <w:rPr>
          <w:rFonts w:cs="Arial"/>
          <w:szCs w:val="22"/>
        </w:rPr>
        <w:t xml:space="preserve">improved </w:t>
      </w:r>
      <w:r w:rsidRPr="00F3288A">
        <w:rPr>
          <w:rFonts w:cs="Arial"/>
          <w:szCs w:val="22"/>
        </w:rPr>
        <w:t>by enabling their statement</w:t>
      </w:r>
      <w:r w:rsidR="00F3288A">
        <w:rPr>
          <w:rFonts w:cs="Arial"/>
          <w:szCs w:val="22"/>
        </w:rPr>
        <w:t xml:space="preserve"> to be</w:t>
      </w:r>
      <w:r w:rsidRPr="00F3288A">
        <w:rPr>
          <w:rFonts w:cs="Arial"/>
          <w:szCs w:val="22"/>
        </w:rPr>
        <w:t xml:space="preserve"> read aloud in open court, and providing more information about the criminal justice process. </w:t>
      </w:r>
      <w:r w:rsidR="00F3288A">
        <w:rPr>
          <w:rFonts w:cs="Arial"/>
          <w:szCs w:val="22"/>
        </w:rPr>
        <w:t xml:space="preserve">A specialist committal list in the Magistrates’ Court </w:t>
      </w:r>
      <w:r w:rsidRPr="00F3288A">
        <w:rPr>
          <w:rFonts w:cs="Arial"/>
          <w:szCs w:val="22"/>
        </w:rPr>
        <w:t xml:space="preserve">would ensure that </w:t>
      </w:r>
      <w:r w:rsidR="00F3288A">
        <w:rPr>
          <w:rFonts w:cs="Arial"/>
          <w:szCs w:val="22"/>
        </w:rPr>
        <w:t xml:space="preserve">magistrates have experience in applying existing protections, confining </w:t>
      </w:r>
      <w:r w:rsidRPr="00F3288A">
        <w:rPr>
          <w:rFonts w:cs="Arial"/>
          <w:szCs w:val="22"/>
        </w:rPr>
        <w:t xml:space="preserve">questioning to relevant and justified matters, and </w:t>
      </w:r>
      <w:r w:rsidR="00F3288A">
        <w:rPr>
          <w:rFonts w:cs="Arial"/>
          <w:szCs w:val="22"/>
        </w:rPr>
        <w:t xml:space="preserve">not allowing </w:t>
      </w:r>
      <w:r w:rsidRPr="00F3288A">
        <w:rPr>
          <w:rFonts w:cs="Arial"/>
          <w:szCs w:val="22"/>
        </w:rPr>
        <w:t>intimidating or oppressive</w:t>
      </w:r>
      <w:r w:rsidR="00F3288A">
        <w:rPr>
          <w:rFonts w:cs="Arial"/>
          <w:szCs w:val="22"/>
        </w:rPr>
        <w:t xml:space="preserve"> questioning</w:t>
      </w:r>
      <w:r w:rsidR="00B920AA" w:rsidRPr="00F3288A">
        <w:rPr>
          <w:rFonts w:cs="Arial"/>
          <w:szCs w:val="22"/>
        </w:rPr>
        <w:t xml:space="preserve">. </w:t>
      </w:r>
      <w:r w:rsidR="00B920AA" w:rsidRPr="00F3288A">
        <w:rPr>
          <w:rFonts w:cs="Arial"/>
          <w:b/>
          <w:szCs w:val="22"/>
        </w:rPr>
        <w:t>(Question 8)</w:t>
      </w:r>
    </w:p>
    <w:p w14:paraId="7B23CD60" w14:textId="769D954E" w:rsidR="00363774" w:rsidRPr="00F3288A" w:rsidRDefault="00363774" w:rsidP="00230FFB">
      <w:pPr>
        <w:pStyle w:val="ListParagraph"/>
        <w:numPr>
          <w:ilvl w:val="0"/>
          <w:numId w:val="21"/>
        </w:numPr>
        <w:rPr>
          <w:rFonts w:cs="Arial"/>
          <w:szCs w:val="22"/>
        </w:rPr>
      </w:pPr>
      <w:r w:rsidRPr="00F3288A">
        <w:rPr>
          <w:rFonts w:cs="Arial"/>
          <w:szCs w:val="22"/>
        </w:rPr>
        <w:t xml:space="preserve">Cross-examination at committal hearing should not be further restricted, instead victims should receive additional support to minimise any trauma associated with this process. </w:t>
      </w:r>
      <w:r w:rsidR="00342C51" w:rsidRPr="00F3288A">
        <w:rPr>
          <w:rFonts w:cs="Arial"/>
          <w:szCs w:val="22"/>
        </w:rPr>
        <w:t xml:space="preserve">In particular, we support the expansion of intermediaries and ground rules hearings to all court locations and beyond the current restricted eligible cohort. </w:t>
      </w:r>
      <w:r w:rsidRPr="00F3288A">
        <w:rPr>
          <w:rFonts w:cs="Arial"/>
          <w:b/>
          <w:szCs w:val="22"/>
        </w:rPr>
        <w:t xml:space="preserve">(Question </w:t>
      </w:r>
      <w:r w:rsidR="00342C51" w:rsidRPr="00F3288A">
        <w:rPr>
          <w:rFonts w:cs="Arial"/>
          <w:b/>
          <w:szCs w:val="22"/>
        </w:rPr>
        <w:t>9</w:t>
      </w:r>
      <w:r w:rsidRPr="00F3288A">
        <w:rPr>
          <w:rFonts w:cs="Arial"/>
          <w:b/>
          <w:szCs w:val="22"/>
        </w:rPr>
        <w:t>)</w:t>
      </w:r>
    </w:p>
    <w:p w14:paraId="1675CCF8" w14:textId="1FF8B25E" w:rsidR="00342C51" w:rsidRPr="00F3288A" w:rsidRDefault="00342C51" w:rsidP="00230FFB">
      <w:pPr>
        <w:pStyle w:val="ListParagraph"/>
        <w:numPr>
          <w:ilvl w:val="0"/>
          <w:numId w:val="21"/>
        </w:numPr>
        <w:rPr>
          <w:rFonts w:cs="Arial"/>
          <w:szCs w:val="22"/>
        </w:rPr>
      </w:pPr>
      <w:r w:rsidRPr="00F3288A">
        <w:rPr>
          <w:rFonts w:cs="Arial"/>
          <w:szCs w:val="22"/>
        </w:rPr>
        <w:t xml:space="preserve">Committal proceedings should be retained in the Children’s Court jurisdiction, despite the increase in the number of committals </w:t>
      </w:r>
      <w:r w:rsidR="00F3288A">
        <w:rPr>
          <w:rFonts w:cs="Arial"/>
          <w:szCs w:val="22"/>
        </w:rPr>
        <w:t xml:space="preserve">resulting from </w:t>
      </w:r>
      <w:r w:rsidRPr="00F3288A">
        <w:rPr>
          <w:rFonts w:cs="Arial"/>
          <w:szCs w:val="22"/>
        </w:rPr>
        <w:t xml:space="preserve">the 2018 reforms which created a presumption in favour of uplift to the adult jurisdiction for serious youth offences. </w:t>
      </w:r>
      <w:r w:rsidRPr="00F3288A">
        <w:rPr>
          <w:rFonts w:cs="Arial"/>
          <w:b/>
        </w:rPr>
        <w:t>(Question 21)</w:t>
      </w:r>
    </w:p>
    <w:p w14:paraId="326D5542" w14:textId="731114FB" w:rsidR="0064054F" w:rsidRPr="00AF0E65" w:rsidRDefault="00B920AA" w:rsidP="007731A2">
      <w:pPr>
        <w:pStyle w:val="ListParagraph"/>
        <w:numPr>
          <w:ilvl w:val="0"/>
          <w:numId w:val="21"/>
        </w:numPr>
        <w:rPr>
          <w:rFonts w:cs="Arial"/>
        </w:rPr>
      </w:pPr>
      <w:r w:rsidRPr="00F3288A">
        <w:rPr>
          <w:rFonts w:cs="Arial"/>
        </w:rPr>
        <w:t>Any changes to the current system, especially any shift of pre-trial proceedings to a higher jurisdiction, will have significant resource implications</w:t>
      </w:r>
      <w:r w:rsidR="00342C51" w:rsidRPr="00F3288A">
        <w:rPr>
          <w:rFonts w:cs="Arial"/>
        </w:rPr>
        <w:t>. It is essential that there be detailed process modelling with participation of all criminal justice agencies to meaningfully assess the impact of the recommendations.</w:t>
      </w:r>
      <w:r w:rsidR="004B388D" w:rsidRPr="00F3288A">
        <w:rPr>
          <w:rFonts w:cs="Arial"/>
        </w:rPr>
        <w:t xml:space="preserve"> </w:t>
      </w:r>
      <w:r w:rsidR="00342C51" w:rsidRPr="00F3288A">
        <w:rPr>
          <w:rFonts w:cs="Arial"/>
        </w:rPr>
        <w:t xml:space="preserve">There </w:t>
      </w:r>
      <w:r w:rsidR="004B388D" w:rsidRPr="00F3288A">
        <w:rPr>
          <w:rFonts w:cs="Arial"/>
        </w:rPr>
        <w:t xml:space="preserve">must be </w:t>
      </w:r>
      <w:r w:rsidR="00342C51" w:rsidRPr="00F3288A">
        <w:rPr>
          <w:rFonts w:cs="Arial"/>
        </w:rPr>
        <w:t xml:space="preserve">an </w:t>
      </w:r>
      <w:r w:rsidR="004B388D" w:rsidRPr="00F3288A">
        <w:rPr>
          <w:rFonts w:cs="Arial"/>
        </w:rPr>
        <w:t xml:space="preserve">independent </w:t>
      </w:r>
      <w:r w:rsidR="00387841" w:rsidRPr="00F3288A">
        <w:rPr>
          <w:rFonts w:cs="Arial"/>
        </w:rPr>
        <w:t>evaluation</w:t>
      </w:r>
      <w:r w:rsidR="004B388D" w:rsidRPr="00F3288A">
        <w:rPr>
          <w:rFonts w:cs="Arial"/>
        </w:rPr>
        <w:t xml:space="preserve"> to assess the </w:t>
      </w:r>
      <w:r w:rsidR="00342C51" w:rsidRPr="00F3288A">
        <w:rPr>
          <w:rFonts w:cs="Arial"/>
        </w:rPr>
        <w:t xml:space="preserve">impact of the </w:t>
      </w:r>
      <w:r w:rsidR="004B388D" w:rsidRPr="00F3288A">
        <w:rPr>
          <w:rFonts w:cs="Arial"/>
        </w:rPr>
        <w:t>reform</w:t>
      </w:r>
      <w:r w:rsidR="00342C51" w:rsidRPr="00F3288A">
        <w:rPr>
          <w:rFonts w:cs="Arial"/>
        </w:rPr>
        <w:t xml:space="preserve"> implementation, starting with addressing the existing inadequacies in the</w:t>
      </w:r>
      <w:r w:rsidR="00342C51">
        <w:rPr>
          <w:rFonts w:cs="Arial"/>
        </w:rPr>
        <w:t xml:space="preserve"> available data</w:t>
      </w:r>
      <w:r w:rsidR="00C80D74" w:rsidRPr="00173BD4">
        <w:rPr>
          <w:rFonts w:cs="Arial"/>
        </w:rPr>
        <w:t xml:space="preserve">. </w:t>
      </w:r>
      <w:r w:rsidRPr="00BE2B57">
        <w:rPr>
          <w:rFonts w:cs="Arial"/>
          <w:b/>
        </w:rPr>
        <w:t>(Question 21</w:t>
      </w:r>
      <w:r w:rsidRPr="003D4AF1">
        <w:rPr>
          <w:rFonts w:cs="Arial"/>
          <w:b/>
        </w:rPr>
        <w:t>)</w:t>
      </w:r>
    </w:p>
    <w:p w14:paraId="7462E91D" w14:textId="77777777" w:rsidR="006763B0" w:rsidRDefault="006763B0" w:rsidP="003D4AF1">
      <w:pPr>
        <w:rPr>
          <w:rFonts w:cs="Arial"/>
          <w:b/>
          <w:bCs/>
          <w:color w:val="971A4B"/>
          <w:kern w:val="32"/>
          <w:sz w:val="28"/>
          <w:szCs w:val="32"/>
          <w:lang w:eastAsia="en-AU"/>
        </w:rPr>
      </w:pPr>
      <w:r>
        <w:br w:type="page"/>
      </w:r>
    </w:p>
    <w:p w14:paraId="1D9CA8F3" w14:textId="09EAED1F" w:rsidR="00FA56E5" w:rsidRDefault="00633B81" w:rsidP="00681CDF">
      <w:pPr>
        <w:pStyle w:val="Heading1"/>
        <w:jc w:val="both"/>
      </w:pPr>
      <w:bookmarkStart w:id="8" w:name="_Toc17050654"/>
      <w:bookmarkStart w:id="9" w:name="_Toc17155069"/>
      <w:r>
        <w:lastRenderedPageBreak/>
        <w:t>About VLA</w:t>
      </w:r>
      <w:bookmarkEnd w:id="8"/>
      <w:bookmarkEnd w:id="9"/>
    </w:p>
    <w:p w14:paraId="76B51CC7" w14:textId="77777777" w:rsidR="007276D1" w:rsidRDefault="007276D1" w:rsidP="007276D1">
      <w:pPr>
        <w:pStyle w:val="VLADocumentText"/>
        <w:rPr>
          <w:rFonts w:cs="Arial"/>
        </w:rPr>
      </w:pPr>
      <w:r w:rsidRPr="00E44D59">
        <w:rPr>
          <w:rFonts w:cs="Arial"/>
        </w:rPr>
        <w:t xml:space="preserve">VLA is an independent statutory authority </w:t>
      </w:r>
      <w:r w:rsidRPr="007F6181">
        <w:t xml:space="preserve">established </w:t>
      </w:r>
      <w:r w:rsidRPr="00736D1F">
        <w:rPr>
          <w:color w:val="000000"/>
          <w:shd w:val="clear" w:color="auto" w:fill="FFFFFF"/>
        </w:rPr>
        <w:t>under</w:t>
      </w:r>
      <w:r w:rsidRPr="007F6181">
        <w:t xml:space="preserve"> the </w:t>
      </w:r>
      <w:r w:rsidRPr="006A2724">
        <w:rPr>
          <w:i/>
        </w:rPr>
        <w:t>Legal Aid Act 1978</w:t>
      </w:r>
      <w:r w:rsidRPr="007F6181">
        <w:t xml:space="preserve"> (Vic). We receive funding from the Commonwealth and Victorian governments and through the Victorian Public Purpose Fund</w:t>
      </w:r>
      <w:r>
        <w:t xml:space="preserve"> </w:t>
      </w:r>
      <w:r w:rsidRPr="007F6181">
        <w:t xml:space="preserve">but are independent of government. </w:t>
      </w:r>
      <w:r>
        <w:t>T</w:t>
      </w:r>
      <w:r w:rsidRPr="007F6181">
        <w:t xml:space="preserve">he </w:t>
      </w:r>
      <w:r>
        <w:t xml:space="preserve">Legal Aid </w:t>
      </w:r>
      <w:r w:rsidRPr="007F6181">
        <w:t xml:space="preserve">Act </w:t>
      </w:r>
      <w:r>
        <w:t>sets out our responsibilities</w:t>
      </w:r>
      <w:r w:rsidRPr="00E44D59">
        <w:rPr>
          <w:rFonts w:cs="Arial"/>
        </w:rPr>
        <w:t xml:space="preserve"> to provide legal </w:t>
      </w:r>
      <w:r w:rsidRPr="007F6181">
        <w:t>representation, advice and assistance</w:t>
      </w:r>
      <w:r>
        <w:t xml:space="preserve">, and to </w:t>
      </w:r>
      <w:r w:rsidRPr="007F6181">
        <w:t>administer the Legal Aid Fund</w:t>
      </w:r>
      <w:r>
        <w:t xml:space="preserve"> to Community Legal Centres and private practitioners who provide eligible services</w:t>
      </w:r>
      <w:r w:rsidRPr="00E44D59">
        <w:rPr>
          <w:rFonts w:cs="Arial"/>
        </w:rPr>
        <w:t xml:space="preserve"> in the most effective, economic and efficient manner. </w:t>
      </w:r>
    </w:p>
    <w:p w14:paraId="2721516B" w14:textId="5C5C6D50" w:rsidR="00AD2DE8" w:rsidRPr="00E44D59" w:rsidDel="00523A8D" w:rsidRDefault="00633B81" w:rsidP="007F2F0B">
      <w:pPr>
        <w:pStyle w:val="Heading2"/>
      </w:pPr>
      <w:bookmarkStart w:id="10" w:name="_Toc17050655"/>
      <w:bookmarkStart w:id="11" w:name="_Toc17155070"/>
      <w:r>
        <w:t>O</w:t>
      </w:r>
      <w:r w:rsidR="00E01DEA" w:rsidRPr="00E44D59">
        <w:t>ur clients</w:t>
      </w:r>
      <w:bookmarkEnd w:id="10"/>
      <w:bookmarkEnd w:id="11"/>
    </w:p>
    <w:p w14:paraId="379DE00E" w14:textId="77777777" w:rsidR="0046634A" w:rsidRDefault="0046634A" w:rsidP="0046634A">
      <w:pPr>
        <w:pStyle w:val="VLADocumentText"/>
      </w:pPr>
      <w:r>
        <w:t xml:space="preserve">VLA plays an important institutional role within the criminal justice system, representing both offenders and victims at various stages of the criminal process. We are committed to the provision and coordination of legal services that promote victim safety and interrupt cycles of offending. </w:t>
      </w:r>
    </w:p>
    <w:p w14:paraId="44C3DF80" w14:textId="14DE373E" w:rsidR="00F0097D" w:rsidRDefault="009C78D6" w:rsidP="002A07B0">
      <w:pPr>
        <w:pStyle w:val="VLADocumentText"/>
        <w:rPr>
          <w:rFonts w:cs="Arial"/>
        </w:rPr>
      </w:pPr>
      <w:r w:rsidRPr="00E44D59">
        <w:rPr>
          <w:rFonts w:cs="Arial"/>
        </w:rPr>
        <w:t>VLA represents some of the most disadvantaged people in Victoria</w:t>
      </w:r>
      <w:r>
        <w:rPr>
          <w:rFonts w:cs="Arial"/>
        </w:rPr>
        <w:t xml:space="preserve">. </w:t>
      </w:r>
      <w:r w:rsidRPr="00E92BC3">
        <w:t>In 2017-2018, VLA recorded</w:t>
      </w:r>
      <w:r w:rsidR="00287096">
        <w:t xml:space="preserve"> that 5</w:t>
      </w:r>
      <w:r w:rsidR="005954CD">
        <w:t xml:space="preserve"> per cent</w:t>
      </w:r>
      <w:r w:rsidR="00287096">
        <w:t xml:space="preserve"> of our clients </w:t>
      </w:r>
      <w:r w:rsidR="002A07B0">
        <w:t>were of Aboriginal or Torres Strait Islander background, 22</w:t>
      </w:r>
      <w:r w:rsidR="005954CD">
        <w:t xml:space="preserve"> per cent</w:t>
      </w:r>
      <w:r w:rsidR="002A07B0">
        <w:t xml:space="preserve"> were from culturally and linguistically diverse backgrounds</w:t>
      </w:r>
      <w:r w:rsidR="00CF5EEB">
        <w:t xml:space="preserve">, </w:t>
      </w:r>
      <w:r w:rsidR="002A07B0">
        <w:t>26</w:t>
      </w:r>
      <w:r w:rsidR="005954CD">
        <w:t xml:space="preserve"> per cent</w:t>
      </w:r>
      <w:r w:rsidR="002A07B0">
        <w:t xml:space="preserve"> disclosed having a disability or mental illness</w:t>
      </w:r>
      <w:r w:rsidR="00CF5EEB">
        <w:t xml:space="preserve">, </w:t>
      </w:r>
      <w:r w:rsidR="002A07B0">
        <w:t>5</w:t>
      </w:r>
      <w:r w:rsidR="005954CD">
        <w:t xml:space="preserve"> per cent</w:t>
      </w:r>
      <w:r w:rsidR="002A07B0">
        <w:t xml:space="preserve"> were experiencing homelessness</w:t>
      </w:r>
      <w:r w:rsidR="00CF5EEB">
        <w:rPr>
          <w:rFonts w:cs="Arial"/>
        </w:rPr>
        <w:t xml:space="preserve">, and </w:t>
      </w:r>
      <w:r w:rsidR="00CF5EEB">
        <w:t>29</w:t>
      </w:r>
      <w:r w:rsidR="005954CD">
        <w:t xml:space="preserve"> per cent</w:t>
      </w:r>
      <w:r w:rsidR="00CF5EEB">
        <w:t xml:space="preserve"> had no income</w:t>
      </w:r>
      <w:r w:rsidR="00CF5EEB" w:rsidRPr="00E44D59">
        <w:rPr>
          <w:rFonts w:cs="Arial"/>
        </w:rPr>
        <w:t>.</w:t>
      </w:r>
      <w:bookmarkStart w:id="12" w:name="_Ref17105446"/>
      <w:r w:rsidRPr="00E44D59">
        <w:rPr>
          <w:rStyle w:val="FootnoteReference"/>
          <w:rFonts w:cs="Arial"/>
        </w:rPr>
        <w:footnoteReference w:id="4"/>
      </w:r>
      <w:bookmarkEnd w:id="12"/>
      <w:r w:rsidRPr="00E44D59">
        <w:rPr>
          <w:rFonts w:cs="Arial"/>
        </w:rPr>
        <w:t xml:space="preserve"> </w:t>
      </w:r>
    </w:p>
    <w:p w14:paraId="68D113E8" w14:textId="15144751" w:rsidR="00CE4FEA" w:rsidRPr="002833CF" w:rsidRDefault="00CF0D7D" w:rsidP="006722F0">
      <w:pPr>
        <w:pStyle w:val="VLADocumentText"/>
      </w:pPr>
      <w:r>
        <w:t xml:space="preserve">Many of our </w:t>
      </w:r>
      <w:r w:rsidR="00F0097D" w:rsidRPr="00A14281">
        <w:t xml:space="preserve">criminal </w:t>
      </w:r>
      <w:r w:rsidR="00CE4FEA">
        <w:t xml:space="preserve">law program </w:t>
      </w:r>
      <w:r w:rsidR="00F0097D" w:rsidRPr="00A14281">
        <w:t>clients have themselves been the victims of crime</w:t>
      </w:r>
      <w:r w:rsidR="0074397B">
        <w:t>, trauma or abuse</w:t>
      </w:r>
      <w:r w:rsidR="00CE4FEA" w:rsidRPr="00A14281">
        <w:t>.</w:t>
      </w:r>
    </w:p>
    <w:p w14:paraId="3B4F30F4" w14:textId="111F0E6A" w:rsidR="00402BC2" w:rsidRDefault="00CE4FEA" w:rsidP="00402BC2">
      <w:pPr>
        <w:pStyle w:val="Heading2"/>
      </w:pPr>
      <w:bookmarkStart w:id="13" w:name="_Toc17050656"/>
      <w:bookmarkStart w:id="14" w:name="_Toc17155071"/>
      <w:r>
        <w:t>Our services</w:t>
      </w:r>
      <w:bookmarkEnd w:id="13"/>
      <w:bookmarkEnd w:id="14"/>
    </w:p>
    <w:p w14:paraId="51F46D1E" w14:textId="197BF0C2" w:rsidR="00A7635D" w:rsidRPr="00F55438" w:rsidRDefault="00402BC2" w:rsidP="00EF3AB9">
      <w:pPr>
        <w:pStyle w:val="VLADocumentText"/>
        <w:rPr>
          <w:rFonts w:cs="Arial"/>
        </w:rPr>
      </w:pPr>
      <w:r>
        <w:t xml:space="preserve">VLA </w:t>
      </w:r>
      <w:r w:rsidR="00E01DEA" w:rsidRPr="00E44D59">
        <w:rPr>
          <w:rFonts w:cs="Arial"/>
        </w:rPr>
        <w:t>provide</w:t>
      </w:r>
      <w:r>
        <w:rPr>
          <w:rFonts w:cs="Arial"/>
        </w:rPr>
        <w:t>s</w:t>
      </w:r>
      <w:r w:rsidR="00A7635D" w:rsidRPr="00E44D59">
        <w:rPr>
          <w:rFonts w:cs="Arial"/>
        </w:rPr>
        <w:t xml:space="preserve"> legal information, education and advice </w:t>
      </w:r>
      <w:r w:rsidR="00A7635D">
        <w:rPr>
          <w:rFonts w:cs="Arial"/>
        </w:rPr>
        <w:t xml:space="preserve">to </w:t>
      </w:r>
      <w:r w:rsidR="00A7635D" w:rsidRPr="00E44D59">
        <w:rPr>
          <w:rFonts w:cs="Arial"/>
        </w:rPr>
        <w:t>all Victorians, including</w:t>
      </w:r>
      <w:r w:rsidR="00A7635D">
        <w:rPr>
          <w:rFonts w:cs="Arial"/>
          <w:lang w:eastAsia="en-AU"/>
        </w:rPr>
        <w:t xml:space="preserve"> </w:t>
      </w:r>
      <w:r w:rsidR="00A7635D" w:rsidRPr="00E44D59">
        <w:rPr>
          <w:rFonts w:cs="Arial"/>
          <w:lang w:eastAsia="en-AU"/>
        </w:rPr>
        <w:t xml:space="preserve">free </w:t>
      </w:r>
      <w:r w:rsidR="00A7635D" w:rsidRPr="00E44D59">
        <w:rPr>
          <w:rFonts w:cs="Arial"/>
        </w:rPr>
        <w:t xml:space="preserve">legal information </w:t>
      </w:r>
      <w:r w:rsidR="00A7635D" w:rsidRPr="00E44D59">
        <w:rPr>
          <w:rFonts w:cs="Arial"/>
          <w:szCs w:val="22"/>
        </w:rPr>
        <w:t>through our website, Legal Help telephone service, community legal education, publications</w:t>
      </w:r>
      <w:r w:rsidR="00A7635D">
        <w:rPr>
          <w:rFonts w:cs="Arial"/>
          <w:szCs w:val="22"/>
        </w:rPr>
        <w:t>,</w:t>
      </w:r>
      <w:r w:rsidR="00A7635D" w:rsidRPr="00E44D59">
        <w:rPr>
          <w:rFonts w:cs="Arial"/>
          <w:szCs w:val="22"/>
        </w:rPr>
        <w:t xml:space="preserve"> </w:t>
      </w:r>
      <w:r w:rsidR="00A7635D">
        <w:rPr>
          <w:rFonts w:cs="Arial"/>
          <w:szCs w:val="22"/>
        </w:rPr>
        <w:t xml:space="preserve">and </w:t>
      </w:r>
      <w:r w:rsidR="00A7635D" w:rsidRPr="00F55438">
        <w:rPr>
          <w:rFonts w:cs="Arial"/>
        </w:rPr>
        <w:t>free clinics on specific legal issues</w:t>
      </w:r>
      <w:r w:rsidR="00A7635D">
        <w:rPr>
          <w:rFonts w:cs="Arial"/>
        </w:rPr>
        <w:t xml:space="preserve">. </w:t>
      </w:r>
    </w:p>
    <w:p w14:paraId="290AEC0B" w14:textId="30340247" w:rsidR="00A7635D" w:rsidRDefault="00A7635D" w:rsidP="00A7635D">
      <w:pPr>
        <w:pStyle w:val="VLADocumentText"/>
      </w:pPr>
      <w:r>
        <w:t xml:space="preserve">VLA </w:t>
      </w:r>
      <w:r w:rsidRPr="00E44D59">
        <w:t>provide</w:t>
      </w:r>
      <w:r>
        <w:t>s</w:t>
      </w:r>
      <w:r w:rsidRPr="00E44D59">
        <w:t xml:space="preserve"> </w:t>
      </w:r>
      <w:r>
        <w:t xml:space="preserve">a </w:t>
      </w:r>
      <w:r w:rsidRPr="00E44D59">
        <w:t xml:space="preserve">duty </w:t>
      </w:r>
      <w:r>
        <w:t xml:space="preserve">lawyer service </w:t>
      </w:r>
      <w:r w:rsidRPr="00E44D59">
        <w:t>in most courts and tribunals in Victoria</w:t>
      </w:r>
      <w:r>
        <w:t>. This is intended to capture those who attend court without legal representation.</w:t>
      </w:r>
    </w:p>
    <w:p w14:paraId="230E3B2A" w14:textId="7BC6E08C" w:rsidR="00A7635D" w:rsidRDefault="00A7635D" w:rsidP="00A7635D">
      <w:pPr>
        <w:pStyle w:val="VLADocumentText"/>
      </w:pPr>
      <w:r>
        <w:t xml:space="preserve">Of most relevance to the Commission’s review is that VLA </w:t>
      </w:r>
      <w:r w:rsidRPr="00E44D59">
        <w:t>fund</w:t>
      </w:r>
      <w:r>
        <w:t>s</w:t>
      </w:r>
      <w:r w:rsidRPr="00E44D59">
        <w:t xml:space="preserve"> </w:t>
      </w:r>
      <w:r>
        <w:t xml:space="preserve">in-house lawyers and private practitioners to represent accused persons in criminal proceedings on an ongoing basis, provided they </w:t>
      </w:r>
      <w:r w:rsidRPr="00E44D59">
        <w:t>meet eligibility criteria based on their financial situation</w:t>
      </w:r>
      <w:r>
        <w:t xml:space="preserve"> and the merits of the case. These criteria differ depending on whether the matter proceeds in committal or summary streams.</w:t>
      </w:r>
    </w:p>
    <w:p w14:paraId="74007393" w14:textId="783F6FFB" w:rsidR="00A7635D" w:rsidRDefault="00A7635D" w:rsidP="00A7635D">
      <w:pPr>
        <w:pStyle w:val="VLADocumentText"/>
      </w:pPr>
      <w:r>
        <w:t>In committal stream matters, the merits test for an initial grant of legal assistance is lower than for summary matters to recognise the greater consequence</w:t>
      </w:r>
      <w:r w:rsidR="00AB4003">
        <w:t>s</w:t>
      </w:r>
      <w:r>
        <w:t xml:space="preserve"> ordinarily associated with these more serious cases.</w:t>
      </w:r>
      <w:r>
        <w:rPr>
          <w:rStyle w:val="FootnoteReference"/>
        </w:rPr>
        <w:footnoteReference w:id="5"/>
      </w:r>
      <w:r>
        <w:t xml:space="preserve"> Different tests will apply depending on whether the case will proceed to committal, plea or trial.</w:t>
      </w:r>
      <w:r>
        <w:rPr>
          <w:rStyle w:val="FootnoteReference"/>
        </w:rPr>
        <w:footnoteReference w:id="6"/>
      </w:r>
    </w:p>
    <w:p w14:paraId="505ECCE1" w14:textId="02F85644" w:rsidR="00A7635D" w:rsidRDefault="00A7635D" w:rsidP="00A7635D">
      <w:pPr>
        <w:pStyle w:val="VLADocumentText"/>
      </w:pPr>
      <w:r>
        <w:lastRenderedPageBreak/>
        <w:t xml:space="preserve">Where a case progresses to </w:t>
      </w:r>
      <w:r w:rsidRPr="00E44D59">
        <w:t>trial</w:t>
      </w:r>
      <w:r>
        <w:t xml:space="preserve"> and the accused is unrepresented</w:t>
      </w:r>
      <w:r w:rsidRPr="00E44D59">
        <w:t xml:space="preserve">, the court can order that VLA </w:t>
      </w:r>
      <w:r>
        <w:t>fund representation if it is satisfied that it would be unable to ensure a fair trial unless the accused were represented and the accused was unable to afford private legal representation.</w:t>
      </w:r>
      <w:r>
        <w:rPr>
          <w:rStyle w:val="FootnoteReference"/>
        </w:rPr>
        <w:footnoteReference w:id="7"/>
      </w:r>
      <w:r>
        <w:t xml:space="preserve"> VLA therefore funds approximately 80</w:t>
      </w:r>
      <w:r w:rsidR="005954CD">
        <w:t xml:space="preserve"> per cent</w:t>
      </w:r>
      <w:r>
        <w:t xml:space="preserve"> of criminal trials in Victoria</w:t>
      </w:r>
      <w:r w:rsidR="00CD56E8">
        <w:t>,</w:t>
      </w:r>
      <w:r>
        <w:t xml:space="preserve"> with the test being that the matter cannot be heard and disposed of in the </w:t>
      </w:r>
      <w:r w:rsidR="00E01DEA">
        <w:t>Magistrates’</w:t>
      </w:r>
      <w:r>
        <w:t xml:space="preserve"> Court</w:t>
      </w:r>
      <w:r w:rsidR="00CD56E8">
        <w:t>,</w:t>
      </w:r>
      <w:r>
        <w:t xml:space="preserve"> and it is desirable in the interests of justice to provide a grant of assistance.</w:t>
      </w:r>
      <w:r>
        <w:rPr>
          <w:rStyle w:val="FootnoteReference"/>
        </w:rPr>
        <w:footnoteReference w:id="8"/>
      </w:r>
      <w:r>
        <w:t xml:space="preserve"> </w:t>
      </w:r>
    </w:p>
    <w:p w14:paraId="404F1412" w14:textId="77777777" w:rsidR="00A43731" w:rsidRPr="00250A7D" w:rsidRDefault="00A43731" w:rsidP="00A43731">
      <w:pPr>
        <w:pStyle w:val="VLADocumentText"/>
        <w:rPr>
          <w:rFonts w:cs="Arial"/>
        </w:rPr>
      </w:pPr>
      <w:r>
        <w:rPr>
          <w:rFonts w:cs="Arial"/>
        </w:rPr>
        <w:t>In</w:t>
      </w:r>
      <w:r w:rsidRPr="00250A7D">
        <w:rPr>
          <w:rFonts w:cs="Arial"/>
        </w:rPr>
        <w:t xml:space="preserve"> the 201</w:t>
      </w:r>
      <w:r>
        <w:rPr>
          <w:rFonts w:cs="Arial"/>
        </w:rPr>
        <w:t>7</w:t>
      </w:r>
      <w:r w:rsidRPr="00250A7D">
        <w:rPr>
          <w:rFonts w:cs="Arial"/>
        </w:rPr>
        <w:t>/1</w:t>
      </w:r>
      <w:r>
        <w:rPr>
          <w:rFonts w:cs="Arial"/>
        </w:rPr>
        <w:t>8</w:t>
      </w:r>
      <w:r w:rsidRPr="00250A7D">
        <w:rPr>
          <w:rFonts w:cs="Arial"/>
        </w:rPr>
        <w:t xml:space="preserve"> financial year</w:t>
      </w:r>
      <w:r>
        <w:rPr>
          <w:rFonts w:cs="Arial"/>
        </w:rPr>
        <w:t>:</w:t>
      </w:r>
    </w:p>
    <w:p w14:paraId="34C1CF68" w14:textId="0564167F" w:rsidR="00A43731" w:rsidRDefault="00A43731" w:rsidP="00DB4763">
      <w:pPr>
        <w:pStyle w:val="ListParagraph"/>
        <w:numPr>
          <w:ilvl w:val="0"/>
          <w:numId w:val="5"/>
        </w:numPr>
        <w:ind w:left="709" w:hanging="357"/>
        <w:jc w:val="both"/>
        <w:rPr>
          <w:rFonts w:cs="Arial"/>
        </w:rPr>
      </w:pPr>
      <w:r w:rsidRPr="003F6671">
        <w:rPr>
          <w:rFonts w:cs="Arial"/>
        </w:rPr>
        <w:t xml:space="preserve">VLA funded 3706 </w:t>
      </w:r>
      <w:r w:rsidRPr="00990E71">
        <w:rPr>
          <w:rFonts w:cs="Arial"/>
        </w:rPr>
        <w:t>grants of aid for indictable cases, an increase of 5</w:t>
      </w:r>
      <w:r w:rsidR="005954CD">
        <w:rPr>
          <w:rFonts w:cs="Arial"/>
        </w:rPr>
        <w:t xml:space="preserve"> per cent</w:t>
      </w:r>
      <w:r w:rsidRPr="00990E71">
        <w:rPr>
          <w:rFonts w:cs="Arial"/>
        </w:rPr>
        <w:t xml:space="preserve"> from the previous year.</w:t>
      </w:r>
      <w:r w:rsidRPr="003F6671">
        <w:rPr>
          <w:rStyle w:val="FootnoteReference"/>
          <w:rFonts w:cs="Arial"/>
        </w:rPr>
        <w:footnoteReference w:id="9"/>
      </w:r>
    </w:p>
    <w:p w14:paraId="0A3E8C98" w14:textId="0B40B3FD" w:rsidR="00A43731" w:rsidRDefault="00A43731" w:rsidP="00DB4763">
      <w:pPr>
        <w:pStyle w:val="ListParagraph"/>
        <w:numPr>
          <w:ilvl w:val="0"/>
          <w:numId w:val="5"/>
        </w:numPr>
        <w:ind w:left="709" w:hanging="357"/>
        <w:jc w:val="both"/>
        <w:rPr>
          <w:rFonts w:cs="Arial"/>
          <w:szCs w:val="22"/>
        </w:rPr>
      </w:pPr>
      <w:r>
        <w:rPr>
          <w:rFonts w:cs="Arial"/>
          <w:szCs w:val="22"/>
        </w:rPr>
        <w:t xml:space="preserve">The overall expenditure on grants of aid for committals was </w:t>
      </w:r>
      <w:r w:rsidR="00660973">
        <w:rPr>
          <w:rFonts w:cs="Arial"/>
          <w:szCs w:val="22"/>
        </w:rPr>
        <w:t xml:space="preserve">approximately </w:t>
      </w:r>
      <w:r>
        <w:rPr>
          <w:rFonts w:cs="Arial"/>
          <w:szCs w:val="22"/>
        </w:rPr>
        <w:t>$</w:t>
      </w:r>
      <w:r w:rsidR="00A7392F">
        <w:rPr>
          <w:rFonts w:cs="Arial"/>
          <w:szCs w:val="22"/>
        </w:rPr>
        <w:t>2.2</w:t>
      </w:r>
      <w:r>
        <w:rPr>
          <w:rFonts w:cs="Arial"/>
          <w:szCs w:val="22"/>
        </w:rPr>
        <w:t xml:space="preserve"> million.</w:t>
      </w:r>
      <w:r w:rsidR="00C22DB8">
        <w:rPr>
          <w:rStyle w:val="FootnoteReference"/>
          <w:rFonts w:cs="Arial"/>
          <w:szCs w:val="22"/>
        </w:rPr>
        <w:footnoteReference w:id="10"/>
      </w:r>
    </w:p>
    <w:p w14:paraId="1CA46575" w14:textId="77777777" w:rsidR="00A43731" w:rsidRDefault="00A43731" w:rsidP="00DB4763">
      <w:pPr>
        <w:pStyle w:val="ListParagraph"/>
        <w:numPr>
          <w:ilvl w:val="0"/>
          <w:numId w:val="5"/>
        </w:numPr>
        <w:ind w:left="709" w:hanging="357"/>
        <w:jc w:val="both"/>
        <w:rPr>
          <w:rFonts w:cs="Arial"/>
        </w:rPr>
      </w:pPr>
      <w:r w:rsidRPr="003F6671">
        <w:rPr>
          <w:rFonts w:cs="Arial"/>
        </w:rPr>
        <w:t>The overall expenditure on grants of aid for indictable matters was $31.8 million.</w:t>
      </w:r>
      <w:r w:rsidRPr="003F6671">
        <w:rPr>
          <w:rStyle w:val="FootnoteReference"/>
          <w:rFonts w:cs="Arial"/>
        </w:rPr>
        <w:footnoteReference w:id="11"/>
      </w:r>
    </w:p>
    <w:p w14:paraId="2BDB8518" w14:textId="349F94F3" w:rsidR="00A43731" w:rsidRDefault="00A43731" w:rsidP="00DB4763">
      <w:pPr>
        <w:pStyle w:val="ListParagraph"/>
        <w:numPr>
          <w:ilvl w:val="0"/>
          <w:numId w:val="5"/>
        </w:numPr>
        <w:ind w:left="709" w:hanging="357"/>
        <w:jc w:val="both"/>
        <w:rPr>
          <w:rFonts w:cs="Arial"/>
        </w:rPr>
      </w:pPr>
      <w:r w:rsidRPr="003F6671">
        <w:rPr>
          <w:rFonts w:cs="Arial"/>
        </w:rPr>
        <w:t>The VLA in-house practice accounted f</w:t>
      </w:r>
      <w:r w:rsidRPr="00990E71">
        <w:rPr>
          <w:rFonts w:cs="Arial"/>
        </w:rPr>
        <w:t>or 29</w:t>
      </w:r>
      <w:r w:rsidR="005954CD">
        <w:rPr>
          <w:rFonts w:cs="Arial"/>
        </w:rPr>
        <w:t xml:space="preserve"> per cent</w:t>
      </w:r>
      <w:r w:rsidRPr="00990E71">
        <w:rPr>
          <w:rFonts w:cs="Arial"/>
        </w:rPr>
        <w:t xml:space="preserve"> of indictable grants, the remaining 71</w:t>
      </w:r>
      <w:r w:rsidR="005954CD">
        <w:rPr>
          <w:rFonts w:cs="Arial"/>
        </w:rPr>
        <w:t xml:space="preserve"> per cent</w:t>
      </w:r>
      <w:r w:rsidRPr="00990E71">
        <w:rPr>
          <w:rFonts w:cs="Arial"/>
        </w:rPr>
        <w:t xml:space="preserve"> were provided by private practitioners or community legal centres.</w:t>
      </w:r>
      <w:r w:rsidRPr="003F6671">
        <w:rPr>
          <w:rStyle w:val="FootnoteReference"/>
          <w:rFonts w:cs="Arial"/>
        </w:rPr>
        <w:footnoteReference w:id="12"/>
      </w:r>
    </w:p>
    <w:p w14:paraId="4CA1A344" w14:textId="77777777" w:rsidR="004D6A82" w:rsidRDefault="004D6A82" w:rsidP="0048678E">
      <w:pPr>
        <w:rPr>
          <w:shd w:val="clear" w:color="auto" w:fill="FFFFFF"/>
        </w:rPr>
      </w:pPr>
    </w:p>
    <w:p w14:paraId="1A011DA3" w14:textId="2F9659B9" w:rsidR="005C5614" w:rsidRPr="005C5614" w:rsidRDefault="001F6C05" w:rsidP="008F28E7">
      <w:pPr>
        <w:pStyle w:val="VLADocumentText"/>
        <w:rPr>
          <w:b/>
          <w:color w:val="000000"/>
          <w:shd w:val="clear" w:color="auto" w:fill="FFFFFF"/>
        </w:rPr>
      </w:pPr>
      <w:r w:rsidRPr="005C5614">
        <w:rPr>
          <w:b/>
          <w:color w:val="000000"/>
          <w:shd w:val="clear" w:color="auto" w:fill="FFFFFF"/>
        </w:rPr>
        <w:t>Table 1: VLA indictable program trends</w:t>
      </w:r>
    </w:p>
    <w:p w14:paraId="7689DD0B" w14:textId="77777777" w:rsidR="005C5614" w:rsidRPr="005C5614" w:rsidRDefault="005C5614" w:rsidP="00E72760">
      <w:pPr>
        <w:spacing w:line="240" w:lineRule="auto"/>
        <w:rPr>
          <w:sz w:val="1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4106"/>
        <w:gridCol w:w="873"/>
        <w:gridCol w:w="873"/>
        <w:gridCol w:w="873"/>
        <w:gridCol w:w="873"/>
        <w:gridCol w:w="873"/>
        <w:gridCol w:w="873"/>
      </w:tblGrid>
      <w:tr w:rsidR="005C5614" w:rsidRPr="005D39CC" w14:paraId="234425B8" w14:textId="77777777" w:rsidTr="00DC43D0">
        <w:trPr>
          <w:trHeight w:val="315"/>
        </w:trPr>
        <w:tc>
          <w:tcPr>
            <w:tcW w:w="4106" w:type="dxa"/>
            <w:shd w:val="clear" w:color="000000" w:fill="FFFFFF"/>
            <w:noWrap/>
            <w:vAlign w:val="center"/>
            <w:hideMark/>
          </w:tcPr>
          <w:p w14:paraId="4AD82469" w14:textId="339F0A38" w:rsidR="005C5614" w:rsidRPr="001F6C05" w:rsidRDefault="005C5614" w:rsidP="00DC43D0">
            <w:pPr>
              <w:spacing w:line="240" w:lineRule="auto"/>
              <w:rPr>
                <w:rFonts w:cs="Arial"/>
                <w:sz w:val="20"/>
                <w:szCs w:val="20"/>
                <w:lang w:eastAsia="en-AU"/>
              </w:rPr>
            </w:pPr>
          </w:p>
        </w:tc>
        <w:tc>
          <w:tcPr>
            <w:tcW w:w="873" w:type="dxa"/>
            <w:shd w:val="clear" w:color="000000" w:fill="FFFFFF"/>
            <w:noWrap/>
            <w:vAlign w:val="center"/>
            <w:hideMark/>
          </w:tcPr>
          <w:p w14:paraId="60F9ABDB"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FY2014</w:t>
            </w:r>
          </w:p>
        </w:tc>
        <w:tc>
          <w:tcPr>
            <w:tcW w:w="873" w:type="dxa"/>
            <w:shd w:val="clear" w:color="000000" w:fill="FFFFFF"/>
            <w:noWrap/>
            <w:vAlign w:val="center"/>
            <w:hideMark/>
          </w:tcPr>
          <w:p w14:paraId="6542D6FC"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FY2015</w:t>
            </w:r>
          </w:p>
        </w:tc>
        <w:tc>
          <w:tcPr>
            <w:tcW w:w="873" w:type="dxa"/>
            <w:shd w:val="clear" w:color="000000" w:fill="FFFFFF"/>
            <w:noWrap/>
            <w:vAlign w:val="center"/>
            <w:hideMark/>
          </w:tcPr>
          <w:p w14:paraId="503E6700"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FY2016</w:t>
            </w:r>
          </w:p>
        </w:tc>
        <w:tc>
          <w:tcPr>
            <w:tcW w:w="873" w:type="dxa"/>
            <w:shd w:val="clear" w:color="000000" w:fill="FFFFFF"/>
            <w:noWrap/>
            <w:vAlign w:val="center"/>
            <w:hideMark/>
          </w:tcPr>
          <w:p w14:paraId="05024298"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FY2017</w:t>
            </w:r>
          </w:p>
        </w:tc>
        <w:tc>
          <w:tcPr>
            <w:tcW w:w="873" w:type="dxa"/>
            <w:shd w:val="clear" w:color="000000" w:fill="FFFFFF"/>
            <w:noWrap/>
            <w:vAlign w:val="center"/>
            <w:hideMark/>
          </w:tcPr>
          <w:p w14:paraId="42C181A8"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FY2018</w:t>
            </w:r>
          </w:p>
        </w:tc>
        <w:tc>
          <w:tcPr>
            <w:tcW w:w="873" w:type="dxa"/>
            <w:shd w:val="clear" w:color="000000" w:fill="FFFFFF"/>
            <w:noWrap/>
            <w:vAlign w:val="center"/>
            <w:hideMark/>
          </w:tcPr>
          <w:p w14:paraId="1497EBF7" w14:textId="77777777" w:rsidR="005C5614" w:rsidRPr="001F6C05" w:rsidRDefault="005C5614" w:rsidP="00DC43D0">
            <w:pPr>
              <w:spacing w:line="240" w:lineRule="auto"/>
              <w:rPr>
                <w:rFonts w:cs="Arial"/>
                <w:b/>
                <w:bCs/>
                <w:sz w:val="20"/>
                <w:szCs w:val="20"/>
                <w:lang w:eastAsia="en-AU"/>
              </w:rPr>
            </w:pPr>
            <w:r w:rsidRPr="001F6C05">
              <w:rPr>
                <w:rFonts w:cs="Arial"/>
                <w:b/>
                <w:bCs/>
                <w:sz w:val="20"/>
                <w:szCs w:val="20"/>
                <w:lang w:eastAsia="en-AU"/>
              </w:rPr>
              <w:t>FY2019</w:t>
            </w:r>
          </w:p>
        </w:tc>
      </w:tr>
      <w:tr w:rsidR="005C5614" w:rsidRPr="005D39CC" w14:paraId="652443E8" w14:textId="77777777" w:rsidTr="0052728A">
        <w:trPr>
          <w:trHeight w:val="300"/>
        </w:trPr>
        <w:tc>
          <w:tcPr>
            <w:tcW w:w="4106" w:type="dxa"/>
            <w:shd w:val="clear" w:color="000000" w:fill="FFFFFF"/>
            <w:noWrap/>
            <w:hideMark/>
          </w:tcPr>
          <w:p w14:paraId="0867C629" w14:textId="509F42C0" w:rsidR="005C5614" w:rsidRPr="001F6C05" w:rsidRDefault="005C5614" w:rsidP="000C76F3">
            <w:pPr>
              <w:spacing w:line="240" w:lineRule="auto"/>
              <w:rPr>
                <w:rFonts w:cs="Arial"/>
                <w:sz w:val="20"/>
                <w:szCs w:val="20"/>
                <w:lang w:eastAsia="en-AU"/>
              </w:rPr>
            </w:pPr>
            <w:r w:rsidRPr="001F6C05">
              <w:rPr>
                <w:rFonts w:cs="Arial"/>
                <w:sz w:val="20"/>
                <w:szCs w:val="20"/>
                <w:lang w:eastAsia="en-AU"/>
              </w:rPr>
              <w:t xml:space="preserve">Number of unique indictable </w:t>
            </w:r>
            <w:r w:rsidR="00F91A77">
              <w:rPr>
                <w:rFonts w:cs="Arial"/>
                <w:sz w:val="20"/>
                <w:szCs w:val="20"/>
                <w:lang w:eastAsia="en-AU"/>
              </w:rPr>
              <w:t xml:space="preserve">service clients </w:t>
            </w:r>
            <w:r>
              <w:rPr>
                <w:rFonts w:cs="Arial"/>
                <w:sz w:val="20"/>
                <w:szCs w:val="20"/>
                <w:lang w:eastAsia="en-AU"/>
              </w:rPr>
              <w:t>(adults and children)</w:t>
            </w:r>
          </w:p>
        </w:tc>
        <w:tc>
          <w:tcPr>
            <w:tcW w:w="873" w:type="dxa"/>
            <w:shd w:val="clear" w:color="000000" w:fill="FFFFFF"/>
            <w:noWrap/>
            <w:hideMark/>
          </w:tcPr>
          <w:p w14:paraId="1029BCD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3,252</w:t>
            </w:r>
          </w:p>
        </w:tc>
        <w:tc>
          <w:tcPr>
            <w:tcW w:w="873" w:type="dxa"/>
            <w:shd w:val="clear" w:color="000000" w:fill="FFFFFF"/>
            <w:noWrap/>
            <w:hideMark/>
          </w:tcPr>
          <w:p w14:paraId="2C3EEC9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3,271</w:t>
            </w:r>
          </w:p>
        </w:tc>
        <w:tc>
          <w:tcPr>
            <w:tcW w:w="873" w:type="dxa"/>
            <w:shd w:val="clear" w:color="000000" w:fill="FFFFFF"/>
            <w:noWrap/>
            <w:hideMark/>
          </w:tcPr>
          <w:p w14:paraId="0507E85A"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3,263</w:t>
            </w:r>
          </w:p>
        </w:tc>
        <w:tc>
          <w:tcPr>
            <w:tcW w:w="873" w:type="dxa"/>
            <w:shd w:val="clear" w:color="000000" w:fill="FFFFFF"/>
            <w:noWrap/>
            <w:hideMark/>
          </w:tcPr>
          <w:p w14:paraId="1B6989B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3,896</w:t>
            </w:r>
          </w:p>
        </w:tc>
        <w:tc>
          <w:tcPr>
            <w:tcW w:w="873" w:type="dxa"/>
            <w:shd w:val="clear" w:color="000000" w:fill="FFFFFF"/>
            <w:noWrap/>
            <w:hideMark/>
          </w:tcPr>
          <w:p w14:paraId="3AD4A36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4,023</w:t>
            </w:r>
          </w:p>
        </w:tc>
        <w:tc>
          <w:tcPr>
            <w:tcW w:w="873" w:type="dxa"/>
            <w:shd w:val="clear" w:color="000000" w:fill="FFFFFF"/>
            <w:noWrap/>
            <w:hideMark/>
          </w:tcPr>
          <w:p w14:paraId="0A8D2DD7"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4,119</w:t>
            </w:r>
          </w:p>
        </w:tc>
      </w:tr>
      <w:tr w:rsidR="005C5614" w:rsidRPr="005D39CC" w14:paraId="2B4089F4" w14:textId="77777777" w:rsidTr="0052728A">
        <w:trPr>
          <w:trHeight w:val="300"/>
        </w:trPr>
        <w:tc>
          <w:tcPr>
            <w:tcW w:w="4106" w:type="dxa"/>
            <w:shd w:val="clear" w:color="000000" w:fill="FFFFFF"/>
            <w:noWrap/>
            <w:hideMark/>
          </w:tcPr>
          <w:p w14:paraId="3B4DFAF7" w14:textId="6C47C89E" w:rsidR="005C5614" w:rsidRPr="001F6C05" w:rsidRDefault="005C5614" w:rsidP="000C76F3">
            <w:pPr>
              <w:spacing w:line="240" w:lineRule="auto"/>
              <w:rPr>
                <w:rFonts w:cs="Arial"/>
                <w:sz w:val="20"/>
                <w:szCs w:val="20"/>
                <w:lang w:eastAsia="en-AU"/>
              </w:rPr>
            </w:pPr>
            <w:r>
              <w:rPr>
                <w:rFonts w:cs="Arial"/>
                <w:sz w:val="20"/>
                <w:szCs w:val="20"/>
                <w:lang w:eastAsia="en-AU"/>
              </w:rPr>
              <w:t xml:space="preserve">Aboriginal and Torres Strait </w:t>
            </w:r>
            <w:r w:rsidR="008B6D48">
              <w:rPr>
                <w:rFonts w:cs="Arial"/>
                <w:sz w:val="20"/>
                <w:szCs w:val="20"/>
                <w:lang w:eastAsia="en-AU"/>
              </w:rPr>
              <w:t xml:space="preserve">Islander </w:t>
            </w:r>
            <w:r w:rsidRPr="001F6C05">
              <w:rPr>
                <w:rFonts w:cs="Arial"/>
                <w:sz w:val="20"/>
                <w:szCs w:val="20"/>
                <w:lang w:eastAsia="en-AU"/>
              </w:rPr>
              <w:t>(self-identified)</w:t>
            </w:r>
          </w:p>
        </w:tc>
        <w:tc>
          <w:tcPr>
            <w:tcW w:w="873" w:type="dxa"/>
            <w:shd w:val="clear" w:color="000000" w:fill="FFFFFF"/>
            <w:noWrap/>
            <w:hideMark/>
          </w:tcPr>
          <w:p w14:paraId="39A1ADD9"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7%</w:t>
            </w:r>
          </w:p>
        </w:tc>
        <w:tc>
          <w:tcPr>
            <w:tcW w:w="873" w:type="dxa"/>
            <w:shd w:val="clear" w:color="000000" w:fill="FFFFFF"/>
            <w:noWrap/>
            <w:hideMark/>
          </w:tcPr>
          <w:p w14:paraId="0A9728B0"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6%</w:t>
            </w:r>
          </w:p>
        </w:tc>
        <w:tc>
          <w:tcPr>
            <w:tcW w:w="873" w:type="dxa"/>
            <w:shd w:val="clear" w:color="000000" w:fill="FFFFFF"/>
            <w:noWrap/>
            <w:hideMark/>
          </w:tcPr>
          <w:p w14:paraId="6400AD0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7%</w:t>
            </w:r>
          </w:p>
        </w:tc>
        <w:tc>
          <w:tcPr>
            <w:tcW w:w="873" w:type="dxa"/>
            <w:shd w:val="clear" w:color="000000" w:fill="FFFFFF"/>
            <w:noWrap/>
            <w:hideMark/>
          </w:tcPr>
          <w:p w14:paraId="08FA84CB"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8%</w:t>
            </w:r>
          </w:p>
        </w:tc>
        <w:tc>
          <w:tcPr>
            <w:tcW w:w="873" w:type="dxa"/>
            <w:shd w:val="clear" w:color="000000" w:fill="FFFFFF"/>
            <w:noWrap/>
            <w:hideMark/>
          </w:tcPr>
          <w:p w14:paraId="0DC50969"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8%</w:t>
            </w:r>
          </w:p>
        </w:tc>
        <w:tc>
          <w:tcPr>
            <w:tcW w:w="873" w:type="dxa"/>
            <w:shd w:val="clear" w:color="000000" w:fill="FFFFFF"/>
            <w:noWrap/>
            <w:hideMark/>
          </w:tcPr>
          <w:p w14:paraId="5B06B452"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9%</w:t>
            </w:r>
          </w:p>
        </w:tc>
      </w:tr>
      <w:tr w:rsidR="005C5614" w:rsidRPr="005D39CC" w14:paraId="2D48BC7D" w14:textId="77777777" w:rsidTr="0052728A">
        <w:trPr>
          <w:trHeight w:val="300"/>
        </w:trPr>
        <w:tc>
          <w:tcPr>
            <w:tcW w:w="4106" w:type="dxa"/>
            <w:shd w:val="clear" w:color="000000" w:fill="FFFFFF"/>
            <w:noWrap/>
            <w:hideMark/>
          </w:tcPr>
          <w:p w14:paraId="65F91926" w14:textId="3B7A4321" w:rsidR="005C5614" w:rsidRPr="001F6C05" w:rsidRDefault="00DC2452" w:rsidP="000C76F3">
            <w:pPr>
              <w:spacing w:line="240" w:lineRule="auto"/>
              <w:rPr>
                <w:rFonts w:cs="Arial"/>
                <w:sz w:val="20"/>
                <w:szCs w:val="20"/>
                <w:lang w:eastAsia="en-AU"/>
              </w:rPr>
            </w:pPr>
            <w:r>
              <w:rPr>
                <w:rFonts w:cs="Arial"/>
                <w:sz w:val="20"/>
                <w:szCs w:val="20"/>
                <w:lang w:eastAsia="en-AU"/>
              </w:rPr>
              <w:t xml:space="preserve">Report </w:t>
            </w:r>
            <w:r w:rsidR="008B6D48">
              <w:rPr>
                <w:rFonts w:cs="Arial"/>
                <w:sz w:val="20"/>
                <w:szCs w:val="20"/>
                <w:lang w:eastAsia="en-AU"/>
              </w:rPr>
              <w:t xml:space="preserve">having </w:t>
            </w:r>
            <w:r w:rsidR="005C5614">
              <w:rPr>
                <w:rFonts w:cs="Arial"/>
                <w:sz w:val="20"/>
                <w:szCs w:val="20"/>
                <w:lang w:eastAsia="en-AU"/>
              </w:rPr>
              <w:t xml:space="preserve">a </w:t>
            </w:r>
            <w:r w:rsidR="005C5614" w:rsidRPr="001F6C05">
              <w:rPr>
                <w:rFonts w:cs="Arial"/>
                <w:sz w:val="20"/>
                <w:szCs w:val="20"/>
                <w:lang w:eastAsia="en-AU"/>
              </w:rPr>
              <w:t>disability or mental health</w:t>
            </w:r>
            <w:r w:rsidR="008B6D48">
              <w:rPr>
                <w:rFonts w:cs="Arial"/>
                <w:sz w:val="20"/>
                <w:szCs w:val="20"/>
                <w:lang w:eastAsia="en-AU"/>
              </w:rPr>
              <w:t xml:space="preserve"> issues</w:t>
            </w:r>
            <w:r w:rsidR="005C5614" w:rsidRPr="001F6C05">
              <w:rPr>
                <w:rFonts w:cs="Arial"/>
                <w:sz w:val="20"/>
                <w:szCs w:val="20"/>
                <w:lang w:eastAsia="en-AU"/>
              </w:rPr>
              <w:t xml:space="preserve"> (self-identified)</w:t>
            </w:r>
          </w:p>
        </w:tc>
        <w:tc>
          <w:tcPr>
            <w:tcW w:w="873" w:type="dxa"/>
            <w:shd w:val="clear" w:color="000000" w:fill="FFFFFF"/>
            <w:noWrap/>
            <w:hideMark/>
          </w:tcPr>
          <w:p w14:paraId="2046B9E6"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27%</w:t>
            </w:r>
          </w:p>
        </w:tc>
        <w:tc>
          <w:tcPr>
            <w:tcW w:w="873" w:type="dxa"/>
            <w:shd w:val="clear" w:color="000000" w:fill="FFFFFF"/>
            <w:noWrap/>
            <w:hideMark/>
          </w:tcPr>
          <w:p w14:paraId="54566008"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27%</w:t>
            </w:r>
          </w:p>
        </w:tc>
        <w:tc>
          <w:tcPr>
            <w:tcW w:w="873" w:type="dxa"/>
            <w:shd w:val="clear" w:color="000000" w:fill="FFFFFF"/>
            <w:noWrap/>
            <w:hideMark/>
          </w:tcPr>
          <w:p w14:paraId="10AEE49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24%</w:t>
            </w:r>
          </w:p>
        </w:tc>
        <w:tc>
          <w:tcPr>
            <w:tcW w:w="873" w:type="dxa"/>
            <w:shd w:val="clear" w:color="000000" w:fill="FFFFFF"/>
            <w:noWrap/>
            <w:hideMark/>
          </w:tcPr>
          <w:p w14:paraId="2083DB28"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22%</w:t>
            </w:r>
          </w:p>
        </w:tc>
        <w:tc>
          <w:tcPr>
            <w:tcW w:w="873" w:type="dxa"/>
            <w:shd w:val="clear" w:color="000000" w:fill="FFFFFF"/>
            <w:noWrap/>
            <w:hideMark/>
          </w:tcPr>
          <w:p w14:paraId="7D7B5BC1"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22%</w:t>
            </w:r>
          </w:p>
        </w:tc>
        <w:tc>
          <w:tcPr>
            <w:tcW w:w="873" w:type="dxa"/>
            <w:shd w:val="clear" w:color="000000" w:fill="FFFFFF"/>
            <w:noWrap/>
            <w:hideMark/>
          </w:tcPr>
          <w:p w14:paraId="007BED3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21%</w:t>
            </w:r>
          </w:p>
        </w:tc>
      </w:tr>
      <w:tr w:rsidR="005C5614" w:rsidRPr="005D39CC" w14:paraId="0E3238D0" w14:textId="77777777" w:rsidTr="0052728A">
        <w:trPr>
          <w:trHeight w:val="300"/>
        </w:trPr>
        <w:tc>
          <w:tcPr>
            <w:tcW w:w="4106" w:type="dxa"/>
            <w:shd w:val="clear" w:color="000000" w:fill="FFFFFF"/>
            <w:noWrap/>
            <w:hideMark/>
          </w:tcPr>
          <w:p w14:paraId="5A73C8E6" w14:textId="037ACDA3" w:rsidR="005C5614" w:rsidRPr="001F6C05" w:rsidRDefault="005C5614" w:rsidP="000C76F3">
            <w:pPr>
              <w:spacing w:line="240" w:lineRule="auto"/>
              <w:rPr>
                <w:rFonts w:cs="Arial"/>
                <w:sz w:val="20"/>
                <w:szCs w:val="20"/>
                <w:lang w:eastAsia="en-AU"/>
              </w:rPr>
            </w:pPr>
            <w:r>
              <w:rPr>
                <w:rFonts w:cs="Arial"/>
                <w:sz w:val="20"/>
                <w:szCs w:val="20"/>
                <w:lang w:eastAsia="en-AU"/>
              </w:rPr>
              <w:t>S</w:t>
            </w:r>
            <w:r w:rsidRPr="001F6C05">
              <w:rPr>
                <w:rFonts w:cs="Arial"/>
                <w:sz w:val="20"/>
                <w:szCs w:val="20"/>
                <w:lang w:eastAsia="en-AU"/>
              </w:rPr>
              <w:t xml:space="preserve">peak </w:t>
            </w:r>
            <w:r w:rsidR="00DC2452">
              <w:rPr>
                <w:rFonts w:cs="Arial"/>
                <w:sz w:val="20"/>
                <w:szCs w:val="20"/>
                <w:lang w:eastAsia="en-AU"/>
              </w:rPr>
              <w:t xml:space="preserve">a </w:t>
            </w:r>
            <w:r w:rsidRPr="001F6C05">
              <w:rPr>
                <w:rFonts w:cs="Arial"/>
                <w:sz w:val="20"/>
                <w:szCs w:val="20"/>
                <w:lang w:eastAsia="en-AU"/>
              </w:rPr>
              <w:t xml:space="preserve">language other than </w:t>
            </w:r>
            <w:r w:rsidR="7B669274" w:rsidRPr="001F6C05">
              <w:rPr>
                <w:rFonts w:cs="Arial"/>
                <w:sz w:val="20"/>
                <w:szCs w:val="20"/>
                <w:lang w:eastAsia="en-AU"/>
              </w:rPr>
              <w:t>E</w:t>
            </w:r>
            <w:r w:rsidRPr="001F6C05">
              <w:rPr>
                <w:rFonts w:cs="Arial"/>
                <w:sz w:val="20"/>
                <w:szCs w:val="20"/>
                <w:lang w:eastAsia="en-AU"/>
              </w:rPr>
              <w:t>nglish (self-identified)</w:t>
            </w:r>
          </w:p>
        </w:tc>
        <w:tc>
          <w:tcPr>
            <w:tcW w:w="873" w:type="dxa"/>
            <w:shd w:val="clear" w:color="000000" w:fill="FFFFFF"/>
            <w:noWrap/>
            <w:hideMark/>
          </w:tcPr>
          <w:p w14:paraId="26EEFB7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21%</w:t>
            </w:r>
          </w:p>
        </w:tc>
        <w:tc>
          <w:tcPr>
            <w:tcW w:w="873" w:type="dxa"/>
            <w:shd w:val="clear" w:color="000000" w:fill="FFFFFF"/>
            <w:noWrap/>
            <w:hideMark/>
          </w:tcPr>
          <w:p w14:paraId="393175D8"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20%</w:t>
            </w:r>
          </w:p>
        </w:tc>
        <w:tc>
          <w:tcPr>
            <w:tcW w:w="873" w:type="dxa"/>
            <w:shd w:val="clear" w:color="000000" w:fill="FFFFFF"/>
            <w:noWrap/>
            <w:hideMark/>
          </w:tcPr>
          <w:p w14:paraId="3982BE1B"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20%</w:t>
            </w:r>
          </w:p>
        </w:tc>
        <w:tc>
          <w:tcPr>
            <w:tcW w:w="873" w:type="dxa"/>
            <w:shd w:val="clear" w:color="000000" w:fill="FFFFFF"/>
            <w:noWrap/>
            <w:hideMark/>
          </w:tcPr>
          <w:p w14:paraId="67C3D518"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19%</w:t>
            </w:r>
          </w:p>
        </w:tc>
        <w:tc>
          <w:tcPr>
            <w:tcW w:w="873" w:type="dxa"/>
            <w:shd w:val="clear" w:color="000000" w:fill="FFFFFF"/>
            <w:noWrap/>
            <w:hideMark/>
          </w:tcPr>
          <w:p w14:paraId="5ED2D7E7"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20%</w:t>
            </w:r>
          </w:p>
        </w:tc>
        <w:tc>
          <w:tcPr>
            <w:tcW w:w="873" w:type="dxa"/>
            <w:shd w:val="clear" w:color="000000" w:fill="FFFFFF"/>
            <w:noWrap/>
            <w:hideMark/>
          </w:tcPr>
          <w:p w14:paraId="59B19F1E"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18%</w:t>
            </w:r>
          </w:p>
        </w:tc>
      </w:tr>
      <w:tr w:rsidR="005C5614" w:rsidRPr="005D39CC" w14:paraId="0909B1F1" w14:textId="77777777" w:rsidTr="0052728A">
        <w:trPr>
          <w:trHeight w:val="300"/>
        </w:trPr>
        <w:tc>
          <w:tcPr>
            <w:tcW w:w="4106" w:type="dxa"/>
            <w:shd w:val="clear" w:color="000000" w:fill="FFFFFF"/>
            <w:noWrap/>
            <w:hideMark/>
          </w:tcPr>
          <w:p w14:paraId="37BA4128" w14:textId="551A8564" w:rsidR="005C5614" w:rsidRPr="001F6C05" w:rsidRDefault="005C5614" w:rsidP="000C76F3">
            <w:pPr>
              <w:spacing w:line="240" w:lineRule="auto"/>
              <w:rPr>
                <w:rFonts w:cs="Arial"/>
                <w:sz w:val="20"/>
                <w:szCs w:val="20"/>
                <w:lang w:eastAsia="en-AU"/>
              </w:rPr>
            </w:pPr>
            <w:r w:rsidRPr="001F6C05">
              <w:rPr>
                <w:rFonts w:cs="Arial"/>
                <w:sz w:val="20"/>
                <w:szCs w:val="20"/>
                <w:lang w:eastAsia="en-AU"/>
              </w:rPr>
              <w:t xml:space="preserve">Total certified </w:t>
            </w:r>
            <w:r w:rsidRPr="005D39CC">
              <w:rPr>
                <w:rFonts w:cs="Arial"/>
                <w:sz w:val="20"/>
                <w:szCs w:val="20"/>
                <w:lang w:eastAsia="en-AU"/>
              </w:rPr>
              <w:t xml:space="preserve">case </w:t>
            </w:r>
            <w:r w:rsidRPr="001F6C05">
              <w:rPr>
                <w:rFonts w:cs="Arial"/>
                <w:sz w:val="20"/>
                <w:szCs w:val="20"/>
                <w:lang w:eastAsia="en-AU"/>
              </w:rPr>
              <w:t xml:space="preserve">costs </w:t>
            </w:r>
            <w:r w:rsidRPr="005D39CC">
              <w:rPr>
                <w:rFonts w:cs="Arial"/>
                <w:sz w:val="20"/>
                <w:szCs w:val="20"/>
                <w:lang w:eastAsia="en-AU"/>
              </w:rPr>
              <w:t xml:space="preserve">of </w:t>
            </w:r>
            <w:r w:rsidRPr="001F6C05">
              <w:rPr>
                <w:rFonts w:cs="Arial"/>
                <w:sz w:val="20"/>
                <w:szCs w:val="20"/>
                <w:lang w:eastAsia="en-AU"/>
              </w:rPr>
              <w:t xml:space="preserve">indictable </w:t>
            </w:r>
            <w:r w:rsidRPr="005D39CC">
              <w:rPr>
                <w:rFonts w:cs="Arial"/>
                <w:sz w:val="20"/>
                <w:szCs w:val="20"/>
                <w:lang w:eastAsia="en-AU"/>
              </w:rPr>
              <w:t>program</w:t>
            </w:r>
            <w:r w:rsidR="00B61337">
              <w:rPr>
                <w:rFonts w:cs="Arial"/>
                <w:sz w:val="20"/>
                <w:szCs w:val="20"/>
                <w:lang w:eastAsia="en-AU"/>
              </w:rPr>
              <w:t xml:space="preserve"> (inhouse and private practitioner)</w:t>
            </w:r>
          </w:p>
        </w:tc>
        <w:tc>
          <w:tcPr>
            <w:tcW w:w="873" w:type="dxa"/>
            <w:shd w:val="clear" w:color="000000" w:fill="FFFFFF"/>
            <w:noWrap/>
            <w:hideMark/>
          </w:tcPr>
          <w:p w14:paraId="7F625AD8" w14:textId="688155EC" w:rsidR="005C5614" w:rsidRPr="001F6C05" w:rsidRDefault="005C5614" w:rsidP="000C76F3">
            <w:pPr>
              <w:spacing w:line="240" w:lineRule="auto"/>
              <w:rPr>
                <w:rFonts w:cs="Arial"/>
                <w:sz w:val="20"/>
                <w:szCs w:val="20"/>
                <w:lang w:eastAsia="en-AU"/>
              </w:rPr>
            </w:pPr>
            <w:r w:rsidRPr="001F6C05">
              <w:rPr>
                <w:rFonts w:cs="Arial"/>
                <w:sz w:val="20"/>
                <w:szCs w:val="20"/>
                <w:lang w:eastAsia="en-AU"/>
              </w:rPr>
              <w:t>$19</w:t>
            </w:r>
            <w:r w:rsidR="00A25807">
              <w:rPr>
                <w:rFonts w:cs="Arial"/>
                <w:sz w:val="20"/>
                <w:szCs w:val="20"/>
                <w:lang w:eastAsia="en-AU"/>
              </w:rPr>
              <w:t>.</w:t>
            </w:r>
            <w:r w:rsidRPr="001F6C05">
              <w:rPr>
                <w:rFonts w:cs="Arial"/>
                <w:sz w:val="20"/>
                <w:szCs w:val="20"/>
                <w:lang w:eastAsia="en-AU"/>
              </w:rPr>
              <w:t>6</w:t>
            </w:r>
            <w:r w:rsidR="00A25807">
              <w:rPr>
                <w:rFonts w:cs="Arial"/>
                <w:sz w:val="20"/>
                <w:szCs w:val="20"/>
                <w:lang w:eastAsia="en-AU"/>
              </w:rPr>
              <w:t>mil</w:t>
            </w:r>
          </w:p>
        </w:tc>
        <w:tc>
          <w:tcPr>
            <w:tcW w:w="873" w:type="dxa"/>
            <w:shd w:val="clear" w:color="000000" w:fill="FFFFFF"/>
            <w:noWrap/>
            <w:hideMark/>
          </w:tcPr>
          <w:p w14:paraId="7B43FCF6" w14:textId="195D4370" w:rsidR="005C5614" w:rsidRPr="001F6C05" w:rsidRDefault="005C5614" w:rsidP="000C76F3">
            <w:pPr>
              <w:spacing w:line="240" w:lineRule="auto"/>
              <w:rPr>
                <w:rFonts w:cs="Arial"/>
                <w:sz w:val="20"/>
                <w:szCs w:val="20"/>
                <w:lang w:eastAsia="en-AU"/>
              </w:rPr>
            </w:pPr>
            <w:r w:rsidRPr="001F6C05">
              <w:rPr>
                <w:rFonts w:cs="Arial"/>
                <w:sz w:val="20"/>
                <w:szCs w:val="20"/>
                <w:lang w:eastAsia="en-AU"/>
              </w:rPr>
              <w:t>$20</w:t>
            </w:r>
            <w:r w:rsidR="00A25807">
              <w:rPr>
                <w:rFonts w:cs="Arial"/>
                <w:sz w:val="20"/>
                <w:szCs w:val="20"/>
                <w:lang w:eastAsia="en-AU"/>
              </w:rPr>
              <w:t>mil</w:t>
            </w:r>
          </w:p>
        </w:tc>
        <w:tc>
          <w:tcPr>
            <w:tcW w:w="873" w:type="dxa"/>
            <w:shd w:val="clear" w:color="000000" w:fill="FFFFFF"/>
            <w:noWrap/>
            <w:hideMark/>
          </w:tcPr>
          <w:p w14:paraId="7A4C6A2A" w14:textId="15DDC35E" w:rsidR="005C5614" w:rsidRPr="001F6C05" w:rsidRDefault="005C5614" w:rsidP="000C76F3">
            <w:pPr>
              <w:spacing w:line="240" w:lineRule="auto"/>
              <w:rPr>
                <w:rFonts w:cs="Arial"/>
                <w:sz w:val="20"/>
                <w:szCs w:val="20"/>
                <w:lang w:eastAsia="en-AU"/>
              </w:rPr>
            </w:pPr>
            <w:r w:rsidRPr="001F6C05">
              <w:rPr>
                <w:rFonts w:cs="Arial"/>
                <w:sz w:val="20"/>
                <w:szCs w:val="20"/>
                <w:lang w:eastAsia="en-AU"/>
              </w:rPr>
              <w:t>$</w:t>
            </w:r>
            <w:r w:rsidR="00B61337">
              <w:rPr>
                <w:rFonts w:cs="Arial"/>
                <w:sz w:val="20"/>
                <w:szCs w:val="20"/>
                <w:lang w:eastAsia="en-AU"/>
              </w:rPr>
              <w:t>1</w:t>
            </w:r>
            <w:r w:rsidRPr="001F6C05">
              <w:rPr>
                <w:rFonts w:cs="Arial"/>
                <w:sz w:val="20"/>
                <w:szCs w:val="20"/>
                <w:lang w:eastAsia="en-AU"/>
              </w:rPr>
              <w:t>9</w:t>
            </w:r>
            <w:r w:rsidR="00B61337">
              <w:rPr>
                <w:rFonts w:cs="Arial"/>
                <w:sz w:val="20"/>
                <w:szCs w:val="20"/>
                <w:lang w:eastAsia="en-AU"/>
              </w:rPr>
              <w:t>.3mil</w:t>
            </w:r>
          </w:p>
        </w:tc>
        <w:tc>
          <w:tcPr>
            <w:tcW w:w="873" w:type="dxa"/>
            <w:shd w:val="clear" w:color="000000" w:fill="FFFFFF"/>
            <w:noWrap/>
            <w:hideMark/>
          </w:tcPr>
          <w:p w14:paraId="6091D6C0" w14:textId="7D199414" w:rsidR="005C5614" w:rsidRPr="001F6C05" w:rsidRDefault="005C5614" w:rsidP="000C76F3">
            <w:pPr>
              <w:spacing w:line="240" w:lineRule="auto"/>
              <w:rPr>
                <w:rFonts w:cs="Arial"/>
                <w:sz w:val="20"/>
                <w:szCs w:val="20"/>
                <w:lang w:eastAsia="en-AU"/>
              </w:rPr>
            </w:pPr>
            <w:r w:rsidRPr="001F6C05">
              <w:rPr>
                <w:rFonts w:cs="Arial"/>
                <w:sz w:val="20"/>
                <w:szCs w:val="20"/>
                <w:lang w:eastAsia="en-AU"/>
              </w:rPr>
              <w:t>$20</w:t>
            </w:r>
            <w:r w:rsidR="00A25807">
              <w:rPr>
                <w:rFonts w:cs="Arial"/>
                <w:sz w:val="20"/>
                <w:szCs w:val="20"/>
                <w:lang w:eastAsia="en-AU"/>
              </w:rPr>
              <w:t>.7mil</w:t>
            </w:r>
          </w:p>
        </w:tc>
        <w:tc>
          <w:tcPr>
            <w:tcW w:w="873" w:type="dxa"/>
            <w:shd w:val="clear" w:color="000000" w:fill="FFFFFF"/>
            <w:noWrap/>
            <w:hideMark/>
          </w:tcPr>
          <w:p w14:paraId="55E86994" w14:textId="21A9A698" w:rsidR="005C5614" w:rsidRPr="001F6C05" w:rsidRDefault="005C5614" w:rsidP="000C76F3">
            <w:pPr>
              <w:spacing w:line="240" w:lineRule="auto"/>
              <w:rPr>
                <w:rFonts w:cs="Arial"/>
                <w:sz w:val="20"/>
                <w:szCs w:val="20"/>
                <w:lang w:eastAsia="en-AU"/>
              </w:rPr>
            </w:pPr>
            <w:r w:rsidRPr="001F6C05">
              <w:rPr>
                <w:rFonts w:cs="Arial"/>
                <w:sz w:val="20"/>
                <w:szCs w:val="20"/>
                <w:lang w:eastAsia="en-AU"/>
              </w:rPr>
              <w:t>$25</w:t>
            </w:r>
            <w:r w:rsidR="00A25807">
              <w:rPr>
                <w:rFonts w:cs="Arial"/>
                <w:sz w:val="20"/>
                <w:szCs w:val="20"/>
                <w:lang w:eastAsia="en-AU"/>
              </w:rPr>
              <w:t>.1mil</w:t>
            </w:r>
          </w:p>
        </w:tc>
        <w:tc>
          <w:tcPr>
            <w:tcW w:w="873" w:type="dxa"/>
            <w:shd w:val="clear" w:color="000000" w:fill="FFFFFF"/>
            <w:noWrap/>
            <w:hideMark/>
          </w:tcPr>
          <w:p w14:paraId="502726D6" w14:textId="3FC7C5AE" w:rsidR="005C5614" w:rsidRPr="001F6C05" w:rsidRDefault="005C5614" w:rsidP="000C76F3">
            <w:pPr>
              <w:spacing w:line="240" w:lineRule="auto"/>
              <w:rPr>
                <w:rFonts w:cs="Arial"/>
                <w:sz w:val="20"/>
                <w:szCs w:val="20"/>
                <w:lang w:eastAsia="en-AU"/>
              </w:rPr>
            </w:pPr>
            <w:r>
              <w:rPr>
                <w:rFonts w:cs="Arial"/>
                <w:sz w:val="20"/>
                <w:szCs w:val="20"/>
                <w:lang w:eastAsia="en-AU"/>
              </w:rPr>
              <w:t>$</w:t>
            </w:r>
            <w:r w:rsidRPr="001F6C05">
              <w:rPr>
                <w:rFonts w:cs="Arial"/>
                <w:sz w:val="20"/>
                <w:szCs w:val="20"/>
                <w:lang w:eastAsia="en-AU"/>
              </w:rPr>
              <w:t>31</w:t>
            </w:r>
            <w:r w:rsidR="00A25807">
              <w:rPr>
                <w:rFonts w:cs="Arial"/>
                <w:sz w:val="20"/>
                <w:szCs w:val="20"/>
                <w:lang w:eastAsia="en-AU"/>
              </w:rPr>
              <w:t>.8mil</w:t>
            </w:r>
          </w:p>
        </w:tc>
      </w:tr>
      <w:tr w:rsidR="005C5614" w:rsidRPr="005D39CC" w14:paraId="2C8A83A0" w14:textId="77777777" w:rsidTr="0052728A">
        <w:trPr>
          <w:trHeight w:val="300"/>
        </w:trPr>
        <w:tc>
          <w:tcPr>
            <w:tcW w:w="4106" w:type="dxa"/>
            <w:shd w:val="clear" w:color="000000" w:fill="FFFFFF"/>
            <w:noWrap/>
            <w:hideMark/>
          </w:tcPr>
          <w:p w14:paraId="53FC27FE" w14:textId="062FEC43" w:rsidR="005C5614" w:rsidRPr="001F6C05" w:rsidRDefault="005C5614" w:rsidP="000C76F3">
            <w:pPr>
              <w:spacing w:line="240" w:lineRule="auto"/>
              <w:rPr>
                <w:rFonts w:cs="Arial"/>
                <w:sz w:val="20"/>
                <w:szCs w:val="20"/>
                <w:lang w:eastAsia="en-AU"/>
              </w:rPr>
            </w:pPr>
            <w:r w:rsidRPr="001F6C05">
              <w:rPr>
                <w:rFonts w:cs="Arial"/>
                <w:sz w:val="20"/>
                <w:szCs w:val="20"/>
                <w:lang w:eastAsia="en-AU"/>
              </w:rPr>
              <w:t>Number of trial grants</w:t>
            </w:r>
            <w:r w:rsidR="00DC2452">
              <w:rPr>
                <w:rFonts w:cs="Arial"/>
                <w:sz w:val="20"/>
                <w:szCs w:val="20"/>
                <w:lang w:eastAsia="en-AU"/>
              </w:rPr>
              <w:t xml:space="preserve"> (inhouse and private practitioner)</w:t>
            </w:r>
          </w:p>
        </w:tc>
        <w:tc>
          <w:tcPr>
            <w:tcW w:w="873" w:type="dxa"/>
            <w:shd w:val="clear" w:color="000000" w:fill="FFFFFF"/>
            <w:noWrap/>
            <w:hideMark/>
          </w:tcPr>
          <w:p w14:paraId="0B97130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799</w:t>
            </w:r>
          </w:p>
        </w:tc>
        <w:tc>
          <w:tcPr>
            <w:tcW w:w="873" w:type="dxa"/>
            <w:shd w:val="clear" w:color="000000" w:fill="FFFFFF"/>
            <w:noWrap/>
            <w:hideMark/>
          </w:tcPr>
          <w:p w14:paraId="3DC14ED4"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759</w:t>
            </w:r>
          </w:p>
        </w:tc>
        <w:tc>
          <w:tcPr>
            <w:tcW w:w="873" w:type="dxa"/>
            <w:shd w:val="clear" w:color="000000" w:fill="FFFFFF"/>
            <w:noWrap/>
            <w:hideMark/>
          </w:tcPr>
          <w:p w14:paraId="3BF9F4B5"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652</w:t>
            </w:r>
          </w:p>
        </w:tc>
        <w:tc>
          <w:tcPr>
            <w:tcW w:w="873" w:type="dxa"/>
            <w:shd w:val="clear" w:color="000000" w:fill="FFFFFF"/>
            <w:noWrap/>
            <w:hideMark/>
          </w:tcPr>
          <w:p w14:paraId="7F2D877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683</w:t>
            </w:r>
          </w:p>
        </w:tc>
        <w:tc>
          <w:tcPr>
            <w:tcW w:w="873" w:type="dxa"/>
            <w:shd w:val="clear" w:color="000000" w:fill="FFFFFF"/>
            <w:noWrap/>
            <w:hideMark/>
          </w:tcPr>
          <w:p w14:paraId="10B3A80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849</w:t>
            </w:r>
          </w:p>
        </w:tc>
        <w:tc>
          <w:tcPr>
            <w:tcW w:w="873" w:type="dxa"/>
            <w:shd w:val="clear" w:color="000000" w:fill="FFFFFF"/>
            <w:noWrap/>
            <w:hideMark/>
          </w:tcPr>
          <w:p w14:paraId="57427B8C"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830</w:t>
            </w:r>
          </w:p>
        </w:tc>
      </w:tr>
      <w:tr w:rsidR="005C5614" w:rsidRPr="005D39CC" w14:paraId="2E24C5B4" w14:textId="77777777" w:rsidTr="0052728A">
        <w:trPr>
          <w:trHeight w:val="300"/>
        </w:trPr>
        <w:tc>
          <w:tcPr>
            <w:tcW w:w="4106" w:type="dxa"/>
            <w:shd w:val="clear" w:color="000000" w:fill="FFFFFF"/>
            <w:noWrap/>
            <w:hideMark/>
          </w:tcPr>
          <w:p w14:paraId="58E85BD4" w14:textId="2597FEBC" w:rsidR="005C5614" w:rsidRPr="001F6C05" w:rsidRDefault="005C5614" w:rsidP="000C76F3">
            <w:pPr>
              <w:spacing w:line="240" w:lineRule="auto"/>
              <w:rPr>
                <w:rFonts w:cs="Arial"/>
                <w:sz w:val="20"/>
                <w:szCs w:val="20"/>
                <w:lang w:eastAsia="en-AU"/>
              </w:rPr>
            </w:pPr>
            <w:r w:rsidRPr="001F6C05">
              <w:rPr>
                <w:rFonts w:cs="Arial"/>
                <w:sz w:val="20"/>
                <w:szCs w:val="20"/>
                <w:lang w:eastAsia="en-AU"/>
              </w:rPr>
              <w:t>Number of committal grants</w:t>
            </w:r>
            <w:r w:rsidR="00DC2452">
              <w:rPr>
                <w:rFonts w:cs="Arial"/>
                <w:sz w:val="20"/>
                <w:szCs w:val="20"/>
                <w:lang w:eastAsia="en-AU"/>
              </w:rPr>
              <w:t xml:space="preserve"> (inhouse and private practitioner)</w:t>
            </w:r>
          </w:p>
        </w:tc>
        <w:tc>
          <w:tcPr>
            <w:tcW w:w="873" w:type="dxa"/>
            <w:shd w:val="clear" w:color="000000" w:fill="FFFFFF"/>
            <w:noWrap/>
            <w:hideMark/>
          </w:tcPr>
          <w:p w14:paraId="6517B186"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1,121</w:t>
            </w:r>
          </w:p>
        </w:tc>
        <w:tc>
          <w:tcPr>
            <w:tcW w:w="873" w:type="dxa"/>
            <w:shd w:val="clear" w:color="000000" w:fill="FFFFFF"/>
            <w:noWrap/>
            <w:hideMark/>
          </w:tcPr>
          <w:p w14:paraId="590255E4"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1,065</w:t>
            </w:r>
          </w:p>
        </w:tc>
        <w:tc>
          <w:tcPr>
            <w:tcW w:w="873" w:type="dxa"/>
            <w:shd w:val="clear" w:color="000000" w:fill="FFFFFF"/>
            <w:noWrap/>
            <w:hideMark/>
          </w:tcPr>
          <w:p w14:paraId="49A60177"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1,038</w:t>
            </w:r>
          </w:p>
        </w:tc>
        <w:tc>
          <w:tcPr>
            <w:tcW w:w="873" w:type="dxa"/>
            <w:shd w:val="clear" w:color="000000" w:fill="FFFFFF"/>
            <w:noWrap/>
            <w:hideMark/>
          </w:tcPr>
          <w:p w14:paraId="009312D1"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1,254</w:t>
            </w:r>
          </w:p>
        </w:tc>
        <w:tc>
          <w:tcPr>
            <w:tcW w:w="873" w:type="dxa"/>
            <w:shd w:val="clear" w:color="000000" w:fill="FFFFFF"/>
            <w:noWrap/>
            <w:hideMark/>
          </w:tcPr>
          <w:p w14:paraId="25459493"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1,395</w:t>
            </w:r>
          </w:p>
        </w:tc>
        <w:tc>
          <w:tcPr>
            <w:tcW w:w="873" w:type="dxa"/>
            <w:shd w:val="clear" w:color="000000" w:fill="FFFFFF"/>
            <w:noWrap/>
            <w:hideMark/>
          </w:tcPr>
          <w:p w14:paraId="79618B2A" w14:textId="77777777" w:rsidR="005C5614" w:rsidRPr="001F6C05" w:rsidRDefault="005C5614" w:rsidP="000C76F3">
            <w:pPr>
              <w:spacing w:line="240" w:lineRule="auto"/>
              <w:rPr>
                <w:rFonts w:cs="Arial"/>
                <w:sz w:val="20"/>
                <w:szCs w:val="20"/>
                <w:lang w:eastAsia="en-AU"/>
              </w:rPr>
            </w:pPr>
            <w:r w:rsidRPr="001F6C05">
              <w:rPr>
                <w:rFonts w:cs="Arial"/>
                <w:sz w:val="20"/>
                <w:szCs w:val="20"/>
                <w:lang w:eastAsia="en-AU"/>
              </w:rPr>
              <w:t>1,430</w:t>
            </w:r>
          </w:p>
        </w:tc>
      </w:tr>
    </w:tbl>
    <w:p w14:paraId="5FE6C4F4" w14:textId="334A1902" w:rsidR="00A7635D" w:rsidRDefault="00A7635D" w:rsidP="00A7635D">
      <w:pPr>
        <w:pStyle w:val="VLADocumentText"/>
        <w:rPr>
          <w:shd w:val="clear" w:color="auto" w:fill="FFFFFF"/>
        </w:rPr>
      </w:pPr>
      <w:r>
        <w:rPr>
          <w:color w:val="000000"/>
          <w:shd w:val="clear" w:color="auto" w:fill="FFFFFF"/>
        </w:rPr>
        <w:t xml:space="preserve">Our </w:t>
      </w:r>
      <w:proofErr w:type="gramStart"/>
      <w:r>
        <w:rPr>
          <w:color w:val="000000"/>
          <w:shd w:val="clear" w:color="auto" w:fill="FFFFFF"/>
        </w:rPr>
        <w:t>lawyers</w:t>
      </w:r>
      <w:proofErr w:type="gramEnd"/>
      <w:r>
        <w:rPr>
          <w:color w:val="000000"/>
          <w:shd w:val="clear" w:color="auto" w:fill="FFFFFF"/>
        </w:rPr>
        <w:t xml:space="preserve"> practice across the indictable </w:t>
      </w:r>
      <w:r w:rsidR="002579C6">
        <w:rPr>
          <w:color w:val="000000"/>
          <w:shd w:val="clear" w:color="auto" w:fill="FFFFFF"/>
        </w:rPr>
        <w:t xml:space="preserve">system </w:t>
      </w:r>
      <w:r>
        <w:rPr>
          <w:color w:val="000000"/>
          <w:shd w:val="clear" w:color="auto" w:fill="FFFFFF"/>
        </w:rPr>
        <w:t xml:space="preserve">in all </w:t>
      </w:r>
      <w:r w:rsidR="00056736">
        <w:rPr>
          <w:color w:val="000000"/>
          <w:shd w:val="clear" w:color="auto" w:fill="FFFFFF"/>
        </w:rPr>
        <w:t xml:space="preserve">jurisdictions </w:t>
      </w:r>
      <w:r>
        <w:rPr>
          <w:color w:val="000000"/>
          <w:shd w:val="clear" w:color="auto" w:fill="FFFFFF"/>
        </w:rPr>
        <w:t xml:space="preserve">- the </w:t>
      </w:r>
      <w:r w:rsidRPr="00AA5BDA">
        <w:rPr>
          <w:color w:val="000000"/>
          <w:shd w:val="clear" w:color="auto" w:fill="FFFFFF"/>
        </w:rPr>
        <w:t>Magistrates’ Court</w:t>
      </w:r>
      <w:r>
        <w:rPr>
          <w:color w:val="000000"/>
          <w:shd w:val="clear" w:color="auto" w:fill="FFFFFF"/>
        </w:rPr>
        <w:t>,</w:t>
      </w:r>
      <w:r w:rsidRPr="00AA5BDA">
        <w:rPr>
          <w:color w:val="000000"/>
          <w:shd w:val="clear" w:color="auto" w:fill="FFFFFF"/>
        </w:rPr>
        <w:t xml:space="preserve"> </w:t>
      </w:r>
      <w:r w:rsidRPr="00582EB3">
        <w:rPr>
          <w:shd w:val="clear" w:color="auto" w:fill="FFFFFF"/>
        </w:rPr>
        <w:t>Children’s Court</w:t>
      </w:r>
      <w:r>
        <w:rPr>
          <w:shd w:val="clear" w:color="auto" w:fill="FFFFFF"/>
        </w:rPr>
        <w:t xml:space="preserve">, County Court, Supreme Court and Court of Appeal. The extent and breadth of our indictable practice uniquely places VLA to appraise the indictable system as a whole, including its nexus to the summary </w:t>
      </w:r>
      <w:r w:rsidR="00B251C9">
        <w:rPr>
          <w:shd w:val="clear" w:color="auto" w:fill="FFFFFF"/>
        </w:rPr>
        <w:t>crime system</w:t>
      </w:r>
      <w:r>
        <w:rPr>
          <w:shd w:val="clear" w:color="auto" w:fill="FFFFFF"/>
        </w:rPr>
        <w:t xml:space="preserve">, rather than in isolation. </w:t>
      </w:r>
    </w:p>
    <w:p w14:paraId="06224A59" w14:textId="77777777" w:rsidR="0078396F" w:rsidRDefault="0078396F" w:rsidP="0078396F">
      <w:pPr>
        <w:pStyle w:val="VLADocumentText"/>
      </w:pPr>
      <w:r>
        <w:lastRenderedPageBreak/>
        <w:t xml:space="preserve">VLA is one of the largest criminal law solicitor practices in Victoria and operates VLA Chambers, a specialist group of in-house advocates who are briefed to provide in-court representation for clients at all stages, mostly in serious indictable matters. </w:t>
      </w:r>
    </w:p>
    <w:p w14:paraId="6C8ADA92" w14:textId="77777777" w:rsidR="0078396F" w:rsidRDefault="0078396F" w:rsidP="0078396F">
      <w:pPr>
        <w:pStyle w:val="VLADocumentText"/>
      </w:pPr>
      <w:r>
        <w:t>VLA’s specialist youth crime program provides duty lawyer services at all Children’s Court (criminal division) lists across the state and provides legal representation for all children charged with criminal offences.</w:t>
      </w:r>
    </w:p>
    <w:p w14:paraId="6E7920B5" w14:textId="27D97ED6" w:rsidR="00CE4FEA" w:rsidRDefault="001E2C99" w:rsidP="00CE4FEA">
      <w:pPr>
        <w:pStyle w:val="VLADocumentText"/>
      </w:pPr>
      <w:r>
        <w:rPr>
          <w:szCs w:val="22"/>
        </w:rPr>
        <w:t>O</w:t>
      </w:r>
      <w:r w:rsidR="00CE4FEA">
        <w:rPr>
          <w:szCs w:val="22"/>
        </w:rPr>
        <w:t xml:space="preserve">ur </w:t>
      </w:r>
      <w:r w:rsidR="00CD56E8">
        <w:rPr>
          <w:szCs w:val="22"/>
        </w:rPr>
        <w:t>C</w:t>
      </w:r>
      <w:r w:rsidR="00CE4FEA">
        <w:rPr>
          <w:szCs w:val="22"/>
        </w:rPr>
        <w:t xml:space="preserve">ivil </w:t>
      </w:r>
      <w:r w:rsidR="00CD56E8">
        <w:rPr>
          <w:szCs w:val="22"/>
        </w:rPr>
        <w:t>J</w:t>
      </w:r>
      <w:r w:rsidR="00CE4FEA">
        <w:rPr>
          <w:szCs w:val="22"/>
        </w:rPr>
        <w:t>ustice program</w:t>
      </w:r>
      <w:r>
        <w:rPr>
          <w:szCs w:val="22"/>
        </w:rPr>
        <w:t xml:space="preserve"> provides</w:t>
      </w:r>
      <w:r w:rsidR="00CE4FEA" w:rsidDel="001E2C99">
        <w:rPr>
          <w:szCs w:val="22"/>
        </w:rPr>
        <w:t xml:space="preserve"> </w:t>
      </w:r>
      <w:r w:rsidR="00CE4FEA">
        <w:rPr>
          <w:szCs w:val="22"/>
        </w:rPr>
        <w:t>information, advice and representation to victims of crime seeking financial assistance from the Victims of Crime Assistance Tribunal or via court-ordered compensation from offenders.</w:t>
      </w:r>
      <w:r w:rsidR="00821884">
        <w:rPr>
          <w:szCs w:val="22"/>
        </w:rPr>
        <w:t xml:space="preserve"> </w:t>
      </w:r>
      <w:r>
        <w:rPr>
          <w:szCs w:val="22"/>
        </w:rPr>
        <w:t>Our Family, Youth and Children’s Law program provides assistance to victims of family violence, for example, applying for family violence intervention orders.</w:t>
      </w:r>
    </w:p>
    <w:p w14:paraId="3A45DCF2" w14:textId="77777777" w:rsidR="003D4AF1" w:rsidRDefault="00A7635D" w:rsidP="003D4AF1">
      <w:pPr>
        <w:pStyle w:val="VLADocumentText"/>
        <w:rPr>
          <w:color w:val="000000"/>
          <w:shd w:val="clear" w:color="auto" w:fill="FFFFFF"/>
        </w:rPr>
      </w:pPr>
      <w:r>
        <w:t>Given our position as</w:t>
      </w:r>
      <w:r w:rsidR="00A85250">
        <w:t xml:space="preserve"> an extensive law</w:t>
      </w:r>
      <w:r>
        <w:t xml:space="preserve"> practice and funder, VLA has a significant interest in ensuring that people’s rights in criminal proceedings are upheld, that the criminal law system functions effectively and that the public has confidence in the criminal justice system. </w:t>
      </w:r>
      <w:r w:rsidR="00DA72DC">
        <w:rPr>
          <w:shd w:val="clear" w:color="auto" w:fill="FFFFFF"/>
        </w:rPr>
        <w:t>VLA</w:t>
      </w:r>
      <w:r w:rsidDel="004F084A">
        <w:rPr>
          <w:shd w:val="clear" w:color="auto" w:fill="FFFFFF"/>
        </w:rPr>
        <w:t xml:space="preserve"> </w:t>
      </w:r>
      <w:r w:rsidRPr="00250A7D">
        <w:rPr>
          <w:color w:val="000000"/>
          <w:shd w:val="clear" w:color="auto" w:fill="FFFFFF"/>
        </w:rPr>
        <w:t>welcomes reform which aims to improve the system for all participants.</w:t>
      </w:r>
    </w:p>
    <w:p w14:paraId="6AC6A55B" w14:textId="496E98AA" w:rsidR="00260BB6" w:rsidRPr="00E44D59" w:rsidRDefault="00260BB6" w:rsidP="00767346">
      <w:pPr>
        <w:pStyle w:val="Heading1"/>
      </w:pPr>
      <w:bookmarkStart w:id="17" w:name="_Toc17050657"/>
      <w:bookmarkStart w:id="18" w:name="_Toc17155072"/>
      <w:r w:rsidRPr="00E44D59">
        <w:t>Question 1. What purposes can or should committal proceedings serve?</w:t>
      </w:r>
      <w:bookmarkEnd w:id="17"/>
      <w:bookmarkEnd w:id="18"/>
    </w:p>
    <w:p w14:paraId="5A458C9B" w14:textId="11C6B697" w:rsidR="00D03836" w:rsidRDefault="00260BB6" w:rsidP="00260BB6">
      <w:pPr>
        <w:pStyle w:val="VLADocumentText"/>
      </w:pPr>
      <w:r w:rsidRPr="00B83BE8">
        <w:t xml:space="preserve">The purposes of committals </w:t>
      </w:r>
      <w:r w:rsidR="0002192E">
        <w:t xml:space="preserve">are </w:t>
      </w:r>
      <w:r w:rsidRPr="00B83BE8">
        <w:t xml:space="preserve">set out in </w:t>
      </w:r>
      <w:r w:rsidR="006A316F">
        <w:t xml:space="preserve">section 97 of </w:t>
      </w:r>
      <w:r w:rsidRPr="00B83BE8">
        <w:t xml:space="preserve">the </w:t>
      </w:r>
      <w:r w:rsidRPr="00155A2E">
        <w:rPr>
          <w:i/>
        </w:rPr>
        <w:t>Criminal Procedure Act</w:t>
      </w:r>
      <w:r w:rsidR="00155A2E" w:rsidRPr="00155A2E">
        <w:rPr>
          <w:i/>
        </w:rPr>
        <w:t xml:space="preserve"> 2009</w:t>
      </w:r>
      <w:r w:rsidR="00155A2E">
        <w:t xml:space="preserve"> (Vic)</w:t>
      </w:r>
      <w:r>
        <w:t xml:space="preserve">. </w:t>
      </w:r>
      <w:r w:rsidR="00D0194C">
        <w:t xml:space="preserve">VLA supports the </w:t>
      </w:r>
      <w:r>
        <w:t>expan</w:t>
      </w:r>
      <w:r w:rsidR="00D0194C">
        <w:t>sion of this provision</w:t>
      </w:r>
      <w:r>
        <w:t xml:space="preserve"> to </w:t>
      </w:r>
      <w:r w:rsidR="00D03836">
        <w:t xml:space="preserve">reflect </w:t>
      </w:r>
      <w:r w:rsidR="00337CB6">
        <w:t xml:space="preserve">the </w:t>
      </w:r>
      <w:r w:rsidR="00D03836">
        <w:t xml:space="preserve">following </w:t>
      </w:r>
      <w:r w:rsidR="00337CB6">
        <w:t>additional purposes of committals</w:t>
      </w:r>
      <w:r w:rsidR="00D03836">
        <w:t>:</w:t>
      </w:r>
    </w:p>
    <w:p w14:paraId="02E847C5" w14:textId="59CBD1CF" w:rsidR="00D03836" w:rsidRDefault="00D03836" w:rsidP="00D03836">
      <w:pPr>
        <w:pStyle w:val="VLADocumentText"/>
        <w:numPr>
          <w:ilvl w:val="0"/>
          <w:numId w:val="5"/>
        </w:numPr>
      </w:pPr>
      <w:r>
        <w:t>facilitating early resolution through disclosure;</w:t>
      </w:r>
    </w:p>
    <w:p w14:paraId="68101A6C" w14:textId="0F577F72" w:rsidR="00D03836" w:rsidRDefault="00D03836" w:rsidP="00D03836">
      <w:pPr>
        <w:pStyle w:val="VLADocumentText"/>
        <w:numPr>
          <w:ilvl w:val="0"/>
          <w:numId w:val="5"/>
        </w:numPr>
      </w:pPr>
      <w:r>
        <w:t xml:space="preserve">facilitating early resolution through </w:t>
      </w:r>
      <w:r w:rsidR="0066654E">
        <w:t>appropriate</w:t>
      </w:r>
      <w:r>
        <w:t xml:space="preserve"> testing of key evidence; and</w:t>
      </w:r>
    </w:p>
    <w:p w14:paraId="36197C47" w14:textId="62E4FB45" w:rsidR="00D03836" w:rsidRDefault="00D03836" w:rsidP="003D4AF1">
      <w:pPr>
        <w:pStyle w:val="VLADocumentText"/>
        <w:numPr>
          <w:ilvl w:val="0"/>
          <w:numId w:val="5"/>
        </w:numPr>
      </w:pPr>
      <w:r>
        <w:t>independent consideration of the prosecution case</w:t>
      </w:r>
      <w:r w:rsidR="00920103">
        <w:t>.</w:t>
      </w:r>
    </w:p>
    <w:p w14:paraId="656BDDB2" w14:textId="7F1C6C53" w:rsidR="00260BB6" w:rsidRDefault="00D03836" w:rsidP="00260BB6">
      <w:pPr>
        <w:pStyle w:val="VLADocumentText"/>
        <w:rPr>
          <w:rFonts w:cs="Arial"/>
          <w:lang w:eastAsia="en-AU"/>
        </w:rPr>
      </w:pPr>
      <w:r>
        <w:t>This</w:t>
      </w:r>
      <w:r w:rsidR="00920103">
        <w:t xml:space="preserve"> change</w:t>
      </w:r>
      <w:r>
        <w:t xml:space="preserve"> will </w:t>
      </w:r>
      <w:r w:rsidR="00260BB6">
        <w:t xml:space="preserve">give greater emphasis </w:t>
      </w:r>
      <w:r w:rsidR="00AC1F4F">
        <w:t xml:space="preserve">and legislative guidance to practitioners </w:t>
      </w:r>
      <w:r w:rsidR="00260BB6">
        <w:t xml:space="preserve">on </w:t>
      </w:r>
      <w:r w:rsidR="00AC1F4F">
        <w:t xml:space="preserve">the </w:t>
      </w:r>
      <w:r w:rsidR="00097CE5">
        <w:t xml:space="preserve">role of </w:t>
      </w:r>
      <w:r w:rsidR="00260BB6">
        <w:t xml:space="preserve">committals </w:t>
      </w:r>
      <w:r w:rsidR="00920103">
        <w:t>in the promotion of early resolution.</w:t>
      </w:r>
      <w:r w:rsidR="00073140">
        <w:t xml:space="preserve"> </w:t>
      </w:r>
      <w:r w:rsidR="007F3867">
        <w:t>Each of these purposes are outlined in more detail below.</w:t>
      </w:r>
    </w:p>
    <w:p w14:paraId="7624DFD6" w14:textId="77777777" w:rsidR="00260BB6" w:rsidRDefault="00260BB6" w:rsidP="00937C7C">
      <w:pPr>
        <w:pStyle w:val="Heading3"/>
      </w:pPr>
      <w:bookmarkStart w:id="19" w:name="_Toc17050658"/>
      <w:bookmarkStart w:id="20" w:name="_Toc17155073"/>
      <w:r>
        <w:t>1. Facilitating early resolution through disclosure</w:t>
      </w:r>
      <w:bookmarkEnd w:id="19"/>
      <w:bookmarkEnd w:id="20"/>
      <w:r>
        <w:t xml:space="preserve"> </w:t>
      </w:r>
    </w:p>
    <w:p w14:paraId="667FA53B" w14:textId="7D38C69D" w:rsidR="00A7550E" w:rsidRDefault="00846D37" w:rsidP="00260BB6">
      <w:pPr>
        <w:pStyle w:val="VLADocumentText"/>
        <w:rPr>
          <w:rFonts w:cs="Arial"/>
          <w:lang w:eastAsia="en-AU"/>
        </w:rPr>
      </w:pPr>
      <w:r>
        <w:rPr>
          <w:rFonts w:cs="Arial"/>
          <w:lang w:eastAsia="en-AU"/>
        </w:rPr>
        <w:t xml:space="preserve">The </w:t>
      </w:r>
      <w:r>
        <w:t xml:space="preserve">purpose provision </w:t>
      </w:r>
      <w:r w:rsidR="009522D8">
        <w:t xml:space="preserve">in section </w:t>
      </w:r>
      <w:r w:rsidR="00C763F0">
        <w:t xml:space="preserve">97 of the </w:t>
      </w:r>
      <w:r w:rsidR="00D703A7">
        <w:t xml:space="preserve">Criminal Procedure Act </w:t>
      </w:r>
      <w:r>
        <w:t xml:space="preserve">should </w:t>
      </w:r>
      <w:r w:rsidR="005346FA">
        <w:t>be updated to</w:t>
      </w:r>
      <w:r>
        <w:t xml:space="preserve"> include the significant role of committals in facilitating </w:t>
      </w:r>
      <w:r w:rsidRPr="00E44D59">
        <w:rPr>
          <w:rFonts w:cs="Arial"/>
          <w:lang w:eastAsia="en-AU"/>
        </w:rPr>
        <w:t>early resolution</w:t>
      </w:r>
      <w:r>
        <w:rPr>
          <w:rFonts w:cs="Arial"/>
          <w:lang w:eastAsia="en-AU"/>
        </w:rPr>
        <w:t xml:space="preserve"> and the critical need that the </w:t>
      </w:r>
      <w:r w:rsidRPr="00E44D59">
        <w:rPr>
          <w:rFonts w:cs="Arial"/>
          <w:lang w:eastAsia="en-AU"/>
        </w:rPr>
        <w:t xml:space="preserve">case against the accused </w:t>
      </w:r>
      <w:r>
        <w:rPr>
          <w:rFonts w:cs="Arial"/>
          <w:lang w:eastAsia="en-AU"/>
        </w:rPr>
        <w:t xml:space="preserve">be </w:t>
      </w:r>
      <w:r w:rsidRPr="00E44D59">
        <w:rPr>
          <w:rFonts w:cs="Arial"/>
          <w:lang w:eastAsia="en-AU"/>
        </w:rPr>
        <w:t xml:space="preserve">adequately disclosed </w:t>
      </w:r>
      <w:r>
        <w:rPr>
          <w:rFonts w:cs="Arial"/>
          <w:lang w:eastAsia="en-AU"/>
        </w:rPr>
        <w:t>at this pre-trial stage</w:t>
      </w:r>
      <w:r w:rsidR="00B578A1">
        <w:rPr>
          <w:rFonts w:cs="Arial"/>
          <w:lang w:eastAsia="en-AU"/>
        </w:rPr>
        <w:t xml:space="preserve">. This ensures </w:t>
      </w:r>
      <w:r w:rsidRPr="00E44D59">
        <w:rPr>
          <w:rFonts w:cs="Arial"/>
          <w:lang w:eastAsia="en-AU"/>
        </w:rPr>
        <w:t xml:space="preserve">that the accused </w:t>
      </w:r>
      <w:r w:rsidR="006B4705">
        <w:rPr>
          <w:rFonts w:cs="Arial"/>
          <w:lang w:eastAsia="en-AU"/>
        </w:rPr>
        <w:t xml:space="preserve">and their legal representative </w:t>
      </w:r>
      <w:r w:rsidRPr="00E44D59">
        <w:rPr>
          <w:rFonts w:cs="Arial"/>
          <w:lang w:eastAsia="en-AU"/>
        </w:rPr>
        <w:t xml:space="preserve">has sufficient information to </w:t>
      </w:r>
      <w:r w:rsidR="005508A0">
        <w:rPr>
          <w:rFonts w:cs="Arial"/>
          <w:lang w:eastAsia="en-AU"/>
        </w:rPr>
        <w:t xml:space="preserve">enable </w:t>
      </w:r>
      <w:r w:rsidRPr="00E44D59">
        <w:rPr>
          <w:rFonts w:cs="Arial"/>
          <w:lang w:eastAsia="en-AU"/>
        </w:rPr>
        <w:t>them to enter</w:t>
      </w:r>
      <w:r w:rsidRPr="008C3848">
        <w:rPr>
          <w:rFonts w:cs="Arial"/>
          <w:lang w:eastAsia="en-AU"/>
        </w:rPr>
        <w:t xml:space="preserve"> into meaningful negotiations and potentially </w:t>
      </w:r>
      <w:r w:rsidR="005508A0">
        <w:rPr>
          <w:rFonts w:cs="Arial"/>
          <w:lang w:eastAsia="en-AU"/>
        </w:rPr>
        <w:t xml:space="preserve">enter </w:t>
      </w:r>
      <w:r w:rsidRPr="00E44D59">
        <w:rPr>
          <w:rFonts w:cs="Arial"/>
          <w:lang w:eastAsia="en-AU"/>
        </w:rPr>
        <w:t>an early guilty plea</w:t>
      </w:r>
      <w:r>
        <w:rPr>
          <w:rFonts w:cs="Arial"/>
          <w:lang w:eastAsia="en-AU"/>
        </w:rPr>
        <w:t>.</w:t>
      </w:r>
      <w:r w:rsidRPr="00E44D59">
        <w:rPr>
          <w:rFonts w:cs="Arial"/>
          <w:lang w:eastAsia="en-AU"/>
        </w:rPr>
        <w:t xml:space="preserve"> </w:t>
      </w:r>
    </w:p>
    <w:p w14:paraId="05AB6211" w14:textId="6A432F4E" w:rsidR="00D71A39" w:rsidRDefault="00260BB6" w:rsidP="00260BB6">
      <w:pPr>
        <w:pStyle w:val="VLADocumentText"/>
      </w:pPr>
      <w:r>
        <w:t xml:space="preserve">The </w:t>
      </w:r>
      <w:r w:rsidR="00CD55B1">
        <w:t>ex</w:t>
      </w:r>
      <w:r w:rsidR="00E806B7">
        <w:t xml:space="preserve">isting </w:t>
      </w:r>
      <w:r>
        <w:t>purpose</w:t>
      </w:r>
      <w:r w:rsidR="00A81AE8">
        <w:t xml:space="preserve"> provision</w:t>
      </w:r>
      <w:r w:rsidR="00B5654F">
        <w:t xml:space="preserve"> </w:t>
      </w:r>
      <w:r>
        <w:t>do</w:t>
      </w:r>
      <w:r w:rsidR="00A81AE8">
        <w:t>es</w:t>
      </w:r>
      <w:r>
        <w:t xml:space="preserve"> not give sufficient weight to the </w:t>
      </w:r>
      <w:r w:rsidR="00081053">
        <w:t xml:space="preserve">important </w:t>
      </w:r>
      <w:r>
        <w:t xml:space="preserve">role of disclosure </w:t>
      </w:r>
      <w:r w:rsidR="00155A2E">
        <w:t>in</w:t>
      </w:r>
      <w:r>
        <w:t xml:space="preserve"> facilitating early resolution</w:t>
      </w:r>
      <w:r w:rsidR="00862876">
        <w:t>.</w:t>
      </w:r>
      <w:r w:rsidR="00B5654F">
        <w:t xml:space="preserve"> </w:t>
      </w:r>
      <w:r w:rsidR="00862876">
        <w:t>D</w:t>
      </w:r>
      <w:r>
        <w:t xml:space="preserve">isclosure is </w:t>
      </w:r>
      <w:r w:rsidR="00862876">
        <w:t xml:space="preserve">currently framed </w:t>
      </w:r>
      <w:r>
        <w:t>only insofar as it enables preparation for trial (</w:t>
      </w:r>
      <w:r w:rsidR="000065F5">
        <w:t>s 97</w:t>
      </w:r>
      <w:r w:rsidR="00753388">
        <w:t xml:space="preserve"> </w:t>
      </w:r>
      <w:r>
        <w:t>paragraph (d)(i</w:t>
      </w:r>
      <w:r w:rsidRPr="5CFA78A3">
        <w:t xml:space="preserve">)). </w:t>
      </w:r>
    </w:p>
    <w:p w14:paraId="7FAC1457" w14:textId="3EC72CAA" w:rsidR="00260BB6" w:rsidRDefault="00D71A39" w:rsidP="00260BB6">
      <w:pPr>
        <w:pStyle w:val="VLADocumentText"/>
        <w:rPr>
          <w:rFonts w:cs="Arial"/>
          <w:lang w:eastAsia="en-AU"/>
        </w:rPr>
      </w:pPr>
      <w:r>
        <w:t xml:space="preserve">In our experience, </w:t>
      </w:r>
      <w:r>
        <w:rPr>
          <w:rFonts w:cs="Arial"/>
          <w:lang w:eastAsia="en-AU"/>
        </w:rPr>
        <w:t>f</w:t>
      </w:r>
      <w:r w:rsidR="00260BB6" w:rsidRPr="00E44D59">
        <w:rPr>
          <w:rFonts w:cs="Arial"/>
          <w:lang w:eastAsia="en-AU"/>
        </w:rPr>
        <w:t xml:space="preserve">ailure of timely </w:t>
      </w:r>
      <w:r w:rsidR="00260BB6">
        <w:rPr>
          <w:rFonts w:cs="Arial"/>
          <w:lang w:eastAsia="en-AU"/>
        </w:rPr>
        <w:t xml:space="preserve">and appropriate </w:t>
      </w:r>
      <w:r w:rsidR="00260BB6" w:rsidRPr="00E44D59">
        <w:rPr>
          <w:rFonts w:cs="Arial"/>
          <w:lang w:eastAsia="en-AU"/>
        </w:rPr>
        <w:t xml:space="preserve">disclosure </w:t>
      </w:r>
      <w:r w:rsidR="00260BB6">
        <w:rPr>
          <w:rFonts w:cs="Arial"/>
          <w:lang w:eastAsia="en-AU"/>
        </w:rPr>
        <w:t xml:space="preserve">is a significant barrier to early resolution and </w:t>
      </w:r>
      <w:r w:rsidR="00260BB6" w:rsidRPr="00E44D59">
        <w:rPr>
          <w:rFonts w:cs="Arial"/>
          <w:lang w:eastAsia="en-AU"/>
        </w:rPr>
        <w:t xml:space="preserve">contributes to delays in pleas being entered. </w:t>
      </w:r>
      <w:r w:rsidR="00260BB6">
        <w:rPr>
          <w:rFonts w:cs="Arial"/>
          <w:lang w:eastAsia="en-AU"/>
        </w:rPr>
        <w:t xml:space="preserve">The </w:t>
      </w:r>
      <w:r w:rsidR="00BE7AAA">
        <w:rPr>
          <w:rFonts w:cs="Arial"/>
          <w:lang w:eastAsia="en-AU"/>
        </w:rPr>
        <w:t>current</w:t>
      </w:r>
      <w:r w:rsidR="00260BB6">
        <w:rPr>
          <w:rFonts w:cs="Arial"/>
          <w:lang w:eastAsia="en-AU"/>
        </w:rPr>
        <w:t xml:space="preserve"> reality of the </w:t>
      </w:r>
      <w:r w:rsidR="00260BB6" w:rsidRPr="00E44D59">
        <w:rPr>
          <w:rFonts w:cs="Arial"/>
          <w:lang w:eastAsia="en-AU"/>
        </w:rPr>
        <w:t>system</w:t>
      </w:r>
      <w:r w:rsidR="00260BB6">
        <w:rPr>
          <w:rFonts w:cs="Arial"/>
          <w:lang w:eastAsia="en-AU"/>
        </w:rPr>
        <w:t xml:space="preserve"> is that </w:t>
      </w:r>
      <w:r w:rsidR="00260BB6">
        <w:t xml:space="preserve">defence practitioners, </w:t>
      </w:r>
      <w:r w:rsidR="00260BB6" w:rsidRPr="00E44D59">
        <w:rPr>
          <w:rFonts w:cs="Arial"/>
          <w:lang w:eastAsia="en-AU"/>
        </w:rPr>
        <w:t xml:space="preserve">investigation and prosecution services are under-resourced. </w:t>
      </w:r>
      <w:r w:rsidR="00260BB6" w:rsidRPr="00E44D59">
        <w:rPr>
          <w:rFonts w:cs="Arial"/>
          <w:lang w:val="en-US" w:eastAsia="en-AU"/>
        </w:rPr>
        <w:t>Committal</w:t>
      </w:r>
      <w:r w:rsidR="00260BB6" w:rsidRPr="00E44D59">
        <w:rPr>
          <w:rFonts w:cs="Arial"/>
          <w:lang w:eastAsia="en-AU"/>
        </w:rPr>
        <w:t xml:space="preserve"> case management has become a means of holding </w:t>
      </w:r>
      <w:r w:rsidR="00260BB6">
        <w:rPr>
          <w:rFonts w:cs="Arial"/>
          <w:lang w:eastAsia="en-AU"/>
        </w:rPr>
        <w:t>all parties</w:t>
      </w:r>
      <w:r w:rsidR="00260BB6" w:rsidRPr="00E44D59">
        <w:rPr>
          <w:rFonts w:cs="Arial"/>
          <w:lang w:eastAsia="en-AU"/>
        </w:rPr>
        <w:t xml:space="preserve"> accountable </w:t>
      </w:r>
      <w:r w:rsidR="00260BB6">
        <w:rPr>
          <w:rFonts w:cs="Arial"/>
          <w:lang w:eastAsia="en-AU"/>
        </w:rPr>
        <w:t>to</w:t>
      </w:r>
      <w:r w:rsidR="00260BB6" w:rsidRPr="00E44D59">
        <w:rPr>
          <w:rFonts w:cs="Arial"/>
          <w:lang w:eastAsia="en-AU"/>
        </w:rPr>
        <w:t xml:space="preserve"> their obligations to provide all </w:t>
      </w:r>
      <w:r w:rsidR="00260BB6">
        <w:rPr>
          <w:rFonts w:cs="Arial"/>
          <w:lang w:eastAsia="en-AU"/>
        </w:rPr>
        <w:t>relevant</w:t>
      </w:r>
      <w:r w:rsidR="00260BB6" w:rsidRPr="00E44D59">
        <w:rPr>
          <w:rFonts w:cs="Arial"/>
          <w:lang w:eastAsia="en-AU"/>
        </w:rPr>
        <w:t xml:space="preserve"> evidence</w:t>
      </w:r>
      <w:r w:rsidR="00260BB6">
        <w:rPr>
          <w:rFonts w:cs="Arial"/>
          <w:lang w:eastAsia="en-AU"/>
        </w:rPr>
        <w:t xml:space="preserve"> at an appropriate time</w:t>
      </w:r>
      <w:r w:rsidR="00260BB6" w:rsidRPr="00E44D59">
        <w:rPr>
          <w:rFonts w:cs="Arial"/>
          <w:lang w:eastAsia="en-AU"/>
        </w:rPr>
        <w:t xml:space="preserve">. </w:t>
      </w:r>
      <w:r w:rsidR="0038116D">
        <w:rPr>
          <w:rFonts w:cs="Arial"/>
          <w:lang w:eastAsia="en-AU"/>
        </w:rPr>
        <w:t xml:space="preserve">This should be reflected in section 97. </w:t>
      </w:r>
    </w:p>
    <w:p w14:paraId="07955AB3" w14:textId="4B7DACB4" w:rsidR="00260BB6" w:rsidRDefault="00260BB6" w:rsidP="00937C7C">
      <w:pPr>
        <w:pStyle w:val="Heading3"/>
      </w:pPr>
      <w:bookmarkStart w:id="21" w:name="_Toc17050659"/>
      <w:bookmarkStart w:id="22" w:name="_Toc17155074"/>
      <w:r>
        <w:lastRenderedPageBreak/>
        <w:t xml:space="preserve">2. Facilitating early resolution through </w:t>
      </w:r>
      <w:r w:rsidR="00F55ADB">
        <w:t xml:space="preserve">targeted </w:t>
      </w:r>
      <w:r>
        <w:t>testing of key evidence</w:t>
      </w:r>
      <w:bookmarkEnd w:id="21"/>
      <w:bookmarkEnd w:id="22"/>
    </w:p>
    <w:p w14:paraId="34437C78" w14:textId="5DE39F5F" w:rsidR="00260BB6" w:rsidRDefault="00260BB6" w:rsidP="00260BB6">
      <w:pPr>
        <w:pStyle w:val="VLADocumentText"/>
        <w:rPr>
          <w:rFonts w:cs="Arial"/>
          <w:lang w:eastAsia="en-AU"/>
        </w:rPr>
      </w:pPr>
      <w:r>
        <w:rPr>
          <w:rFonts w:cs="Arial"/>
          <w:lang w:eastAsia="en-AU"/>
        </w:rPr>
        <w:t xml:space="preserve">The </w:t>
      </w:r>
      <w:r w:rsidR="0000004A">
        <w:rPr>
          <w:rFonts w:cs="Arial"/>
          <w:lang w:eastAsia="en-AU"/>
        </w:rPr>
        <w:t xml:space="preserve">legislative purpose </w:t>
      </w:r>
      <w:r>
        <w:rPr>
          <w:rFonts w:cs="Arial"/>
          <w:lang w:eastAsia="en-AU"/>
        </w:rPr>
        <w:t>provision should reflect that</w:t>
      </w:r>
      <w:r w:rsidR="008B6E22">
        <w:rPr>
          <w:rFonts w:cs="Arial"/>
          <w:lang w:eastAsia="en-AU"/>
        </w:rPr>
        <w:t xml:space="preserve"> </w:t>
      </w:r>
      <w:r w:rsidR="005177D5">
        <w:rPr>
          <w:rFonts w:cs="Arial"/>
          <w:lang w:eastAsia="en-AU"/>
        </w:rPr>
        <w:t xml:space="preserve">one of the </w:t>
      </w:r>
      <w:r>
        <w:rPr>
          <w:rFonts w:cs="Arial"/>
          <w:lang w:eastAsia="en-AU"/>
        </w:rPr>
        <w:t>purpose</w:t>
      </w:r>
      <w:r w:rsidR="005177D5">
        <w:rPr>
          <w:rFonts w:cs="Arial"/>
          <w:lang w:eastAsia="en-AU"/>
        </w:rPr>
        <w:t>s</w:t>
      </w:r>
      <w:r>
        <w:rPr>
          <w:rFonts w:cs="Arial"/>
          <w:lang w:eastAsia="en-AU"/>
        </w:rPr>
        <w:t xml:space="preserve"> of committals is to </w:t>
      </w:r>
      <w:r w:rsidRPr="00E44D59">
        <w:rPr>
          <w:rFonts w:cs="Arial"/>
          <w:lang w:eastAsia="en-AU"/>
        </w:rPr>
        <w:t>ensure that the evidence of complainants and witnesses is tested only on relevant matters and in an appropriate manner</w:t>
      </w:r>
      <w:r w:rsidR="005177D5">
        <w:rPr>
          <w:rFonts w:cs="Arial"/>
          <w:lang w:eastAsia="en-AU"/>
        </w:rPr>
        <w:t>.</w:t>
      </w:r>
      <w:r w:rsidR="00073140">
        <w:rPr>
          <w:rFonts w:cs="Arial"/>
          <w:lang w:eastAsia="en-AU"/>
        </w:rPr>
        <w:t xml:space="preserve"> </w:t>
      </w:r>
      <w:r w:rsidR="005177D5">
        <w:rPr>
          <w:rFonts w:cs="Arial"/>
          <w:lang w:eastAsia="en-AU"/>
        </w:rPr>
        <w:t xml:space="preserve">This can </w:t>
      </w:r>
      <w:r>
        <w:rPr>
          <w:rFonts w:cs="Arial"/>
          <w:lang w:eastAsia="en-AU"/>
        </w:rPr>
        <w:t>facilitat</w:t>
      </w:r>
      <w:r w:rsidR="005177D5">
        <w:rPr>
          <w:rFonts w:cs="Arial"/>
          <w:lang w:eastAsia="en-AU"/>
        </w:rPr>
        <w:t>e</w:t>
      </w:r>
      <w:r>
        <w:rPr>
          <w:rFonts w:cs="Arial"/>
          <w:lang w:eastAsia="en-AU"/>
        </w:rPr>
        <w:t xml:space="preserve"> an early resolution and avoid a trial, or </w:t>
      </w:r>
      <w:r w:rsidR="003802FB">
        <w:rPr>
          <w:rFonts w:cs="Arial"/>
          <w:lang w:eastAsia="en-AU"/>
        </w:rPr>
        <w:t xml:space="preserve">substantially </w:t>
      </w:r>
      <w:r>
        <w:rPr>
          <w:rFonts w:cs="Arial"/>
          <w:lang w:eastAsia="en-AU"/>
        </w:rPr>
        <w:t>narrow the issues in dispute</w:t>
      </w:r>
      <w:r w:rsidR="003802FB">
        <w:rPr>
          <w:rFonts w:cs="Arial"/>
          <w:lang w:eastAsia="en-AU"/>
        </w:rPr>
        <w:t xml:space="preserve"> for any subsequent trial</w:t>
      </w:r>
      <w:r>
        <w:rPr>
          <w:rFonts w:cs="Arial"/>
          <w:lang w:eastAsia="en-AU"/>
        </w:rPr>
        <w:t>.</w:t>
      </w:r>
      <w:r w:rsidR="00846D37" w:rsidRPr="00846D37">
        <w:rPr>
          <w:rFonts w:cs="Arial"/>
          <w:lang w:eastAsia="en-AU"/>
        </w:rPr>
        <w:t xml:space="preserve"> </w:t>
      </w:r>
      <w:r w:rsidR="00CB3F43">
        <w:rPr>
          <w:rFonts w:cs="Arial"/>
          <w:lang w:eastAsia="en-AU"/>
        </w:rPr>
        <w:t>Currently, c</w:t>
      </w:r>
      <w:r w:rsidR="00846D37">
        <w:rPr>
          <w:rFonts w:cs="Arial"/>
          <w:lang w:eastAsia="en-AU"/>
        </w:rPr>
        <w:t xml:space="preserve">omplainants and witnesses are only </w:t>
      </w:r>
      <w:r w:rsidR="000E5385">
        <w:rPr>
          <w:rFonts w:cs="Arial"/>
          <w:lang w:eastAsia="en-AU"/>
        </w:rPr>
        <w:t xml:space="preserve">referred to </w:t>
      </w:r>
      <w:r w:rsidR="00846D37">
        <w:rPr>
          <w:rFonts w:cs="Arial"/>
          <w:lang w:eastAsia="en-AU"/>
        </w:rPr>
        <w:t xml:space="preserve">in the </w:t>
      </w:r>
      <w:r w:rsidR="00846D37">
        <w:t xml:space="preserve">statement of purpose </w:t>
      </w:r>
      <w:r w:rsidR="00771DE9">
        <w:t xml:space="preserve">in section 97 </w:t>
      </w:r>
      <w:r w:rsidR="00771DE9">
        <w:rPr>
          <w:rFonts w:cs="Arial"/>
          <w:lang w:eastAsia="en-AU"/>
        </w:rPr>
        <w:t xml:space="preserve">in so far as </w:t>
      </w:r>
      <w:r w:rsidR="00846D37">
        <w:rPr>
          <w:rFonts w:cs="Arial"/>
          <w:lang w:eastAsia="en-AU"/>
        </w:rPr>
        <w:t xml:space="preserve">the accused is able to cross-examine </w:t>
      </w:r>
      <w:r w:rsidR="00661FE4">
        <w:rPr>
          <w:rFonts w:cs="Arial"/>
          <w:lang w:eastAsia="en-AU"/>
        </w:rPr>
        <w:t xml:space="preserve">them as </w:t>
      </w:r>
      <w:r w:rsidR="00846D37">
        <w:rPr>
          <w:rFonts w:cs="Arial"/>
          <w:lang w:eastAsia="en-AU"/>
        </w:rPr>
        <w:t>prosecution witnesses</w:t>
      </w:r>
      <w:r w:rsidR="005B3B20">
        <w:rPr>
          <w:rFonts w:cs="Arial"/>
          <w:lang w:eastAsia="en-AU"/>
        </w:rPr>
        <w:t>.</w:t>
      </w:r>
      <w:r w:rsidR="00661FE4">
        <w:rPr>
          <w:rStyle w:val="FootnoteReference"/>
          <w:rFonts w:cs="Arial"/>
          <w:lang w:eastAsia="en-AU"/>
        </w:rPr>
        <w:footnoteReference w:id="13"/>
      </w:r>
      <w:r w:rsidR="00846D37">
        <w:rPr>
          <w:rFonts w:cs="Arial"/>
          <w:lang w:eastAsia="en-AU"/>
        </w:rPr>
        <w:t xml:space="preserve"> </w:t>
      </w:r>
      <w:r>
        <w:rPr>
          <w:rFonts w:cs="Arial"/>
          <w:lang w:eastAsia="en-AU"/>
        </w:rPr>
        <w:t xml:space="preserve">This </w:t>
      </w:r>
      <w:r w:rsidR="00CB33F3">
        <w:rPr>
          <w:rFonts w:cs="Arial"/>
          <w:lang w:eastAsia="en-AU"/>
        </w:rPr>
        <w:t>position</w:t>
      </w:r>
      <w:r w:rsidR="00846D37">
        <w:rPr>
          <w:rFonts w:cs="Arial"/>
          <w:lang w:eastAsia="en-AU"/>
        </w:rPr>
        <w:t xml:space="preserve"> is no longer completely accurate (following amendments which exclude certain categories of witnesses from being cross-examined at committal), and</w:t>
      </w:r>
      <w:r w:rsidR="008B6E22">
        <w:rPr>
          <w:rFonts w:cs="Arial"/>
          <w:lang w:eastAsia="en-AU"/>
        </w:rPr>
        <w:t xml:space="preserve"> </w:t>
      </w:r>
      <w:r w:rsidR="00333F42">
        <w:rPr>
          <w:rFonts w:cs="Arial"/>
          <w:lang w:eastAsia="en-AU"/>
        </w:rPr>
        <w:t>does not truly reflect</w:t>
      </w:r>
      <w:r w:rsidR="00333F42" w:rsidRPr="000E5385">
        <w:rPr>
          <w:rFonts w:cs="Arial"/>
          <w:lang w:eastAsia="en-AU"/>
        </w:rPr>
        <w:t xml:space="preserve"> </w:t>
      </w:r>
      <w:r w:rsidR="00846D37">
        <w:rPr>
          <w:rFonts w:cs="Arial"/>
          <w:lang w:eastAsia="en-AU"/>
        </w:rPr>
        <w:t>the active role that complainants and witnesses can play in facilitating early resolution.</w:t>
      </w:r>
      <w:r w:rsidRPr="008B6E22">
        <w:rPr>
          <w:rStyle w:val="FootnoteReference"/>
        </w:rPr>
        <w:footnoteReference w:id="14"/>
      </w:r>
    </w:p>
    <w:p w14:paraId="3527F381" w14:textId="77777777" w:rsidR="2574B46B" w:rsidRPr="002D7F36" w:rsidRDefault="2574B46B" w:rsidP="002D7F36">
      <w:pPr>
        <w:pStyle w:val="VLADocumentText"/>
        <w:rPr>
          <w:rFonts w:cs="Arial"/>
          <w:lang w:eastAsia="en-AU"/>
        </w:rPr>
      </w:pPr>
    </w:p>
    <w:tbl>
      <w:tblPr>
        <w:tblStyle w:val="TableGrid"/>
        <w:tblW w:w="8930" w:type="dxa"/>
        <w:tblInd w:w="137" w:type="dxa"/>
        <w:tblLayout w:type="fixed"/>
        <w:tblLook w:val="06A0" w:firstRow="1" w:lastRow="0" w:firstColumn="1" w:lastColumn="0" w:noHBand="1" w:noVBand="1"/>
      </w:tblPr>
      <w:tblGrid>
        <w:gridCol w:w="8930"/>
      </w:tblGrid>
      <w:tr w:rsidR="2574B46B" w14:paraId="72D66DB7" w14:textId="77777777" w:rsidTr="00AF4519">
        <w:trPr>
          <w:trHeight w:val="5608"/>
        </w:trPr>
        <w:tc>
          <w:tcPr>
            <w:tcW w:w="8930" w:type="dxa"/>
          </w:tcPr>
          <w:p w14:paraId="43DEC82B" w14:textId="4379E96F" w:rsidR="006A5E2A" w:rsidRPr="002D7F36" w:rsidRDefault="006A5E2A" w:rsidP="00F51420">
            <w:pPr>
              <w:pStyle w:val="VLAclientexampletitle"/>
              <w:rPr>
                <w:rFonts w:cs="Arial"/>
                <w:iCs/>
                <w:szCs w:val="22"/>
              </w:rPr>
            </w:pPr>
            <w:r w:rsidRPr="002D7F36">
              <w:t xml:space="preserve">John </w:t>
            </w:r>
            <w:r w:rsidR="00E615F3" w:rsidRPr="003D4AF1">
              <w:t xml:space="preserve">– Committal processes </w:t>
            </w:r>
            <w:r w:rsidR="00D51463">
              <w:t>supporting</w:t>
            </w:r>
            <w:r w:rsidR="00E615F3">
              <w:t xml:space="preserve"> </w:t>
            </w:r>
            <w:r w:rsidR="00E615F3" w:rsidRPr="003D4AF1">
              <w:t>earlier resolution</w:t>
            </w:r>
            <w:r w:rsidR="00E615F3">
              <w:t xml:space="preserve"> </w:t>
            </w:r>
            <w:r w:rsidR="00D51463" w:rsidRPr="003D4AF1">
              <w:t>of criminal charges</w:t>
            </w:r>
            <w:r w:rsidR="00D51463">
              <w:t xml:space="preserve"> </w:t>
            </w:r>
          </w:p>
          <w:p w14:paraId="6D747EAF" w14:textId="620A786E" w:rsidR="000D004A" w:rsidRDefault="122D3ABD" w:rsidP="00220735">
            <w:pPr>
              <w:pStyle w:val="VLAclientexample"/>
              <w:rPr>
                <w:rFonts w:eastAsia="Arial" w:cs="Arial"/>
              </w:rPr>
            </w:pPr>
            <w:r w:rsidRPr="5B7CBC2B">
              <w:rPr>
                <w:rFonts w:eastAsia="Arial"/>
              </w:rPr>
              <w:t>John</w:t>
            </w:r>
            <w:r w:rsidR="0032437C">
              <w:rPr>
                <w:rFonts w:eastAsia="Arial"/>
              </w:rPr>
              <w:t>*</w:t>
            </w:r>
            <w:r w:rsidRPr="5B7CBC2B">
              <w:rPr>
                <w:rFonts w:eastAsia="Arial"/>
              </w:rPr>
              <w:t xml:space="preserve"> </w:t>
            </w:r>
            <w:r w:rsidRPr="5B7CBC2B">
              <w:rPr>
                <w:rFonts w:eastAsia="Calibri"/>
              </w:rPr>
              <w:t xml:space="preserve">was charged with three counts of recklessly engaging in conduct endangering life </w:t>
            </w:r>
            <w:r w:rsidR="0032437C">
              <w:rPr>
                <w:rFonts w:eastAsia="Calibri"/>
              </w:rPr>
              <w:t xml:space="preserve">(principal charge) </w:t>
            </w:r>
            <w:r w:rsidRPr="5B7CBC2B">
              <w:rPr>
                <w:rFonts w:eastAsia="Calibri"/>
              </w:rPr>
              <w:t>and other personal violence offen</w:t>
            </w:r>
            <w:r w:rsidR="0032437C">
              <w:rPr>
                <w:rFonts w:eastAsia="Calibri"/>
              </w:rPr>
              <w:t>ces</w:t>
            </w:r>
            <w:r w:rsidRPr="5B7CBC2B">
              <w:rPr>
                <w:rFonts w:eastAsia="Calibri"/>
              </w:rPr>
              <w:t xml:space="preserve">, all of which occurred in the context of family-violence. Following a </w:t>
            </w:r>
            <w:r w:rsidRPr="0B6A9F86">
              <w:rPr>
                <w:rFonts w:eastAsia="Arial" w:cs="Arial"/>
              </w:rPr>
              <w:t>one</w:t>
            </w:r>
            <w:r w:rsidR="00483AB8">
              <w:rPr>
                <w:rFonts w:eastAsia="Arial" w:cs="Arial"/>
              </w:rPr>
              <w:t>-</w:t>
            </w:r>
            <w:r w:rsidRPr="0B6A9F86">
              <w:rPr>
                <w:rFonts w:eastAsia="Arial" w:cs="Arial"/>
              </w:rPr>
              <w:t>day committal</w:t>
            </w:r>
            <w:r w:rsidR="00483AB8">
              <w:rPr>
                <w:rFonts w:eastAsia="Arial" w:cs="Arial"/>
              </w:rPr>
              <w:t>,</w:t>
            </w:r>
            <w:r w:rsidRPr="0B6A9F86">
              <w:rPr>
                <w:rFonts w:eastAsia="Arial" w:cs="Arial"/>
              </w:rPr>
              <w:t xml:space="preserve"> </w:t>
            </w:r>
            <w:r w:rsidRPr="5B7CBC2B">
              <w:rPr>
                <w:rFonts w:eastAsia="Calibri"/>
              </w:rPr>
              <w:t xml:space="preserve">the principal </w:t>
            </w:r>
            <w:r w:rsidRPr="00220735">
              <w:rPr>
                <w:rFonts w:eastAsia="Calibri"/>
              </w:rPr>
              <w:t>charge</w:t>
            </w:r>
            <w:r w:rsidRPr="5B7CBC2B">
              <w:rPr>
                <w:rFonts w:eastAsia="Calibri"/>
              </w:rPr>
              <w:t xml:space="preserve"> </w:t>
            </w:r>
            <w:r w:rsidR="00483AB8">
              <w:rPr>
                <w:rFonts w:eastAsia="Calibri"/>
              </w:rPr>
              <w:t xml:space="preserve">was </w:t>
            </w:r>
            <w:proofErr w:type="gramStart"/>
            <w:r w:rsidR="00483AB8">
              <w:rPr>
                <w:rFonts w:eastAsia="Calibri"/>
              </w:rPr>
              <w:t>dismissed</w:t>
            </w:r>
            <w:proofErr w:type="gramEnd"/>
            <w:r w:rsidR="00483AB8">
              <w:rPr>
                <w:rFonts w:eastAsia="Calibri"/>
              </w:rPr>
              <w:t xml:space="preserve"> </w:t>
            </w:r>
            <w:r w:rsidRPr="5B7CBC2B">
              <w:rPr>
                <w:rFonts w:eastAsia="Calibri"/>
              </w:rPr>
              <w:t xml:space="preserve">and </w:t>
            </w:r>
            <w:r w:rsidR="00483AB8">
              <w:rPr>
                <w:rFonts w:eastAsia="Calibri"/>
              </w:rPr>
              <w:t xml:space="preserve">John was </w:t>
            </w:r>
            <w:r w:rsidRPr="5B7CBC2B">
              <w:rPr>
                <w:rFonts w:eastAsia="Calibri"/>
              </w:rPr>
              <w:t>committed to trial on less serious charges.</w:t>
            </w:r>
            <w:r w:rsidR="00B23641">
              <w:rPr>
                <w:rFonts w:eastAsia="Calibri"/>
              </w:rPr>
              <w:t xml:space="preserve"> </w:t>
            </w:r>
            <w:r w:rsidR="003001E9">
              <w:rPr>
                <w:rFonts w:eastAsia="Calibri"/>
              </w:rPr>
              <w:t>Subsequently</w:t>
            </w:r>
            <w:r w:rsidR="009A2D75">
              <w:rPr>
                <w:rFonts w:eastAsia="Calibri"/>
              </w:rPr>
              <w:t>,</w:t>
            </w:r>
            <w:r w:rsidR="003001E9">
              <w:rPr>
                <w:rFonts w:eastAsia="Calibri"/>
              </w:rPr>
              <w:t xml:space="preserve"> </w:t>
            </w:r>
            <w:r w:rsidR="004F1807">
              <w:rPr>
                <w:rFonts w:eastAsia="Calibri"/>
              </w:rPr>
              <w:t>t</w:t>
            </w:r>
            <w:r w:rsidRPr="0032437C">
              <w:rPr>
                <w:rFonts w:eastAsia="Calibri"/>
              </w:rPr>
              <w:t xml:space="preserve">he matter resolved to a plea of </w:t>
            </w:r>
            <w:r w:rsidRPr="0B6A9F86">
              <w:rPr>
                <w:rFonts w:eastAsia="Arial" w:cs="Arial"/>
              </w:rPr>
              <w:t>guilt</w:t>
            </w:r>
            <w:r w:rsidR="007A666B">
              <w:rPr>
                <w:rFonts w:eastAsia="Arial" w:cs="Arial"/>
              </w:rPr>
              <w:t>y</w:t>
            </w:r>
            <w:r w:rsidRPr="0B6A9F86">
              <w:rPr>
                <w:rFonts w:eastAsia="Arial" w:cs="Arial"/>
              </w:rPr>
              <w:t xml:space="preserve"> to </w:t>
            </w:r>
            <w:r w:rsidR="00461D9F">
              <w:rPr>
                <w:rFonts w:eastAsia="Arial" w:cs="Arial"/>
              </w:rPr>
              <w:t>the</w:t>
            </w:r>
            <w:r w:rsidRPr="0B6A9F86">
              <w:rPr>
                <w:rFonts w:eastAsia="Arial" w:cs="Arial"/>
              </w:rPr>
              <w:t xml:space="preserve"> summary charges</w:t>
            </w:r>
            <w:r w:rsidR="00D3040B">
              <w:rPr>
                <w:rFonts w:eastAsia="Arial" w:cs="Arial"/>
              </w:rPr>
              <w:t xml:space="preserve">, as the </w:t>
            </w:r>
            <w:r w:rsidR="004F1807" w:rsidRPr="0032437C">
              <w:rPr>
                <w:rFonts w:eastAsia="Calibri"/>
              </w:rPr>
              <w:t xml:space="preserve">evidence of the complainant at committal </w:t>
            </w:r>
            <w:r w:rsidR="009A2D75">
              <w:rPr>
                <w:rFonts w:eastAsia="Calibri"/>
              </w:rPr>
              <w:t xml:space="preserve">had </w:t>
            </w:r>
            <w:r w:rsidR="00D3040B">
              <w:rPr>
                <w:rFonts w:eastAsia="Calibri"/>
              </w:rPr>
              <w:t xml:space="preserve">facilitated </w:t>
            </w:r>
            <w:r w:rsidR="004F1807">
              <w:rPr>
                <w:rFonts w:eastAsia="Calibri"/>
              </w:rPr>
              <w:t>effective</w:t>
            </w:r>
            <w:r w:rsidR="004F1807" w:rsidRPr="0032437C" w:rsidDel="000D004A">
              <w:rPr>
                <w:rFonts w:eastAsia="Calibri"/>
              </w:rPr>
              <w:t xml:space="preserve"> </w:t>
            </w:r>
            <w:r w:rsidR="004F1807" w:rsidRPr="0032437C">
              <w:rPr>
                <w:rFonts w:eastAsia="Calibri"/>
              </w:rPr>
              <w:t xml:space="preserve">negotiations </w:t>
            </w:r>
            <w:r w:rsidR="00F6435C">
              <w:rPr>
                <w:rFonts w:eastAsia="Calibri"/>
              </w:rPr>
              <w:t>on</w:t>
            </w:r>
            <w:r w:rsidR="00F6435C" w:rsidRPr="0032437C">
              <w:rPr>
                <w:rFonts w:eastAsia="Calibri"/>
              </w:rPr>
              <w:t xml:space="preserve"> </w:t>
            </w:r>
            <w:r w:rsidR="004F1807" w:rsidRPr="0032437C">
              <w:rPr>
                <w:rFonts w:eastAsia="Calibri"/>
              </w:rPr>
              <w:t>the remaining charges</w:t>
            </w:r>
            <w:r w:rsidRPr="0B6A9F86">
              <w:rPr>
                <w:rFonts w:eastAsia="Arial" w:cs="Arial"/>
              </w:rPr>
              <w:t xml:space="preserve">. </w:t>
            </w:r>
          </w:p>
          <w:p w14:paraId="523778B7" w14:textId="46BAFA3D" w:rsidR="2574B46B" w:rsidRDefault="122D3ABD" w:rsidP="00220735">
            <w:pPr>
              <w:pStyle w:val="VLAclientexample"/>
              <w:rPr>
                <w:rFonts w:eastAsia="Arial"/>
              </w:rPr>
            </w:pPr>
            <w:r w:rsidRPr="0B6A9F86">
              <w:rPr>
                <w:rFonts w:eastAsia="Arial"/>
              </w:rPr>
              <w:t xml:space="preserve">John had </w:t>
            </w:r>
            <w:r w:rsidR="001314D4">
              <w:rPr>
                <w:rFonts w:eastAsia="Arial"/>
              </w:rPr>
              <w:t xml:space="preserve">been on remand </w:t>
            </w:r>
            <w:r w:rsidRPr="0B6A9F86">
              <w:rPr>
                <w:rFonts w:eastAsia="Arial"/>
              </w:rPr>
              <w:t xml:space="preserve">and </w:t>
            </w:r>
            <w:r w:rsidR="00AA36EE">
              <w:rPr>
                <w:rFonts w:eastAsia="Arial"/>
              </w:rPr>
              <w:t xml:space="preserve">following the committal he </w:t>
            </w:r>
            <w:r w:rsidRPr="0B6A9F86">
              <w:rPr>
                <w:rFonts w:eastAsia="Arial"/>
              </w:rPr>
              <w:t xml:space="preserve">was ultimately sentenced to a </w:t>
            </w:r>
            <w:r w:rsidR="001314D4">
              <w:rPr>
                <w:rFonts w:eastAsia="Arial"/>
              </w:rPr>
              <w:t>community corrections order with the custodial sentence already served</w:t>
            </w:r>
            <w:r w:rsidRPr="0B6A9F86">
              <w:rPr>
                <w:rFonts w:eastAsia="Arial"/>
              </w:rPr>
              <w:t>.</w:t>
            </w:r>
            <w:r w:rsidR="0032437C">
              <w:rPr>
                <w:rFonts w:eastAsia="Arial"/>
              </w:rPr>
              <w:t xml:space="preserve"> </w:t>
            </w:r>
            <w:r w:rsidRPr="0B6A9F86">
              <w:rPr>
                <w:rFonts w:eastAsia="Arial"/>
              </w:rPr>
              <w:t>This one day</w:t>
            </w:r>
            <w:r w:rsidR="008D376F">
              <w:rPr>
                <w:rFonts w:eastAsia="Arial"/>
              </w:rPr>
              <w:t>,</w:t>
            </w:r>
            <w:r w:rsidRPr="0B6A9F86">
              <w:rPr>
                <w:rFonts w:eastAsia="Arial"/>
              </w:rPr>
              <w:t xml:space="preserve"> well</w:t>
            </w:r>
            <w:r w:rsidR="3C1545CE" w:rsidRPr="0B6A9F86">
              <w:rPr>
                <w:rFonts w:eastAsia="Arial"/>
              </w:rPr>
              <w:t>-</w:t>
            </w:r>
            <w:r w:rsidRPr="0B6A9F86">
              <w:rPr>
                <w:rFonts w:eastAsia="Arial"/>
              </w:rPr>
              <w:t>run committal</w:t>
            </w:r>
            <w:r w:rsidR="008D376F">
              <w:rPr>
                <w:rFonts w:eastAsia="Arial"/>
              </w:rPr>
              <w:t>,</w:t>
            </w:r>
            <w:r w:rsidRPr="0B6A9F86">
              <w:rPr>
                <w:rFonts w:eastAsia="Arial"/>
              </w:rPr>
              <w:t xml:space="preserve"> bought to the forefront evidentiary weaknesses of the indictable charges. A 10 day trial </w:t>
            </w:r>
            <w:r w:rsidR="006A316F">
              <w:rPr>
                <w:rFonts w:eastAsia="Arial"/>
              </w:rPr>
              <w:t xml:space="preserve">is </w:t>
            </w:r>
            <w:r w:rsidR="008D376F">
              <w:rPr>
                <w:rFonts w:eastAsia="Arial"/>
              </w:rPr>
              <w:t xml:space="preserve">likely </w:t>
            </w:r>
            <w:r w:rsidRPr="0B6A9F86">
              <w:rPr>
                <w:rFonts w:eastAsia="Arial"/>
              </w:rPr>
              <w:t xml:space="preserve">have </w:t>
            </w:r>
            <w:r w:rsidR="00461D9F">
              <w:rPr>
                <w:rFonts w:eastAsia="Arial"/>
              </w:rPr>
              <w:t>reached</w:t>
            </w:r>
            <w:r w:rsidR="00461D9F" w:rsidRPr="0B6A9F86">
              <w:rPr>
                <w:rFonts w:eastAsia="Arial"/>
              </w:rPr>
              <w:t xml:space="preserve"> </w:t>
            </w:r>
            <w:r w:rsidRPr="0B6A9F86">
              <w:rPr>
                <w:rFonts w:eastAsia="Arial"/>
              </w:rPr>
              <w:t>the same outcome, however the end result would have taken many more months to achieve</w:t>
            </w:r>
            <w:r w:rsidR="006A316F">
              <w:rPr>
                <w:rFonts w:eastAsia="Arial"/>
              </w:rPr>
              <w:t>,</w:t>
            </w:r>
            <w:r w:rsidR="008D376F">
              <w:rPr>
                <w:rFonts w:eastAsia="Arial"/>
              </w:rPr>
              <w:t xml:space="preserve"> </w:t>
            </w:r>
            <w:r w:rsidR="006A316F">
              <w:rPr>
                <w:rFonts w:eastAsia="Arial"/>
              </w:rPr>
              <w:t xml:space="preserve">during which </w:t>
            </w:r>
            <w:r w:rsidR="006A316F" w:rsidRPr="0B6A9F86">
              <w:rPr>
                <w:rFonts w:eastAsia="Arial"/>
              </w:rPr>
              <w:t>the accused would have remained in custody</w:t>
            </w:r>
            <w:r w:rsidR="00A335CB">
              <w:rPr>
                <w:rFonts w:eastAsia="Arial"/>
              </w:rPr>
              <w:t>.</w:t>
            </w:r>
            <w:r w:rsidR="00073140">
              <w:rPr>
                <w:rFonts w:eastAsia="Arial"/>
              </w:rPr>
              <w:t xml:space="preserve"> </w:t>
            </w:r>
            <w:r w:rsidR="00A335CB">
              <w:rPr>
                <w:rFonts w:eastAsia="Arial"/>
              </w:rPr>
              <w:t>The complainant would have also been cross-examined at trial.</w:t>
            </w:r>
            <w:r w:rsidRPr="0B6A9F86">
              <w:rPr>
                <w:rFonts w:eastAsia="Arial"/>
              </w:rPr>
              <w:t xml:space="preserve"> Through </w:t>
            </w:r>
            <w:r w:rsidR="00A335CB">
              <w:rPr>
                <w:rFonts w:eastAsia="Arial"/>
              </w:rPr>
              <w:t xml:space="preserve">the </w:t>
            </w:r>
            <w:r w:rsidRPr="0B6A9F86">
              <w:rPr>
                <w:rFonts w:eastAsia="Arial"/>
              </w:rPr>
              <w:t xml:space="preserve">committal </w:t>
            </w:r>
            <w:r w:rsidR="00A335CB">
              <w:rPr>
                <w:rFonts w:eastAsia="Arial"/>
              </w:rPr>
              <w:t>process</w:t>
            </w:r>
            <w:r w:rsidRPr="0B6A9F86">
              <w:rPr>
                <w:rFonts w:eastAsia="Arial"/>
              </w:rPr>
              <w:t xml:space="preserve"> the accused was held accountable for the criminal acts committed </w:t>
            </w:r>
            <w:r w:rsidR="0052236D">
              <w:rPr>
                <w:rFonts w:eastAsia="Arial"/>
              </w:rPr>
              <w:t>and</w:t>
            </w:r>
            <w:r w:rsidR="0052236D" w:rsidRPr="0B6A9F86">
              <w:rPr>
                <w:rFonts w:eastAsia="Arial"/>
              </w:rPr>
              <w:t xml:space="preserve"> </w:t>
            </w:r>
            <w:r w:rsidRPr="0B6A9F86">
              <w:rPr>
                <w:rFonts w:eastAsia="Arial"/>
              </w:rPr>
              <w:t>the end result was achieved sooner</w:t>
            </w:r>
            <w:r w:rsidR="008D376F" w:rsidRPr="0B6A9F86">
              <w:rPr>
                <w:rFonts w:eastAsia="Arial"/>
              </w:rPr>
              <w:t>.</w:t>
            </w:r>
          </w:p>
          <w:p w14:paraId="1FC7F75A" w14:textId="7C330842" w:rsidR="2574B46B" w:rsidRDefault="2574B46B" w:rsidP="38A72D01">
            <w:pPr>
              <w:pStyle w:val="VLAclientexample"/>
            </w:pPr>
            <w:r>
              <w:br/>
            </w:r>
            <w:r w:rsidRPr="5F07C194">
              <w:rPr>
                <w:rFonts w:eastAsia="Arial"/>
              </w:rPr>
              <w:t xml:space="preserve">*VLA client, not his real name. </w:t>
            </w:r>
          </w:p>
        </w:tc>
      </w:tr>
    </w:tbl>
    <w:p w14:paraId="24C0CCEC" w14:textId="14798862" w:rsidR="00260BB6" w:rsidRDefault="00260BB6" w:rsidP="00937C7C">
      <w:pPr>
        <w:pStyle w:val="Heading3"/>
      </w:pPr>
      <w:bookmarkStart w:id="23" w:name="_Toc17050660"/>
      <w:bookmarkStart w:id="24" w:name="_Toc17155075"/>
      <w:r>
        <w:t>3. Independent</w:t>
      </w:r>
      <w:r w:rsidR="00963B40">
        <w:t xml:space="preserve"> </w:t>
      </w:r>
      <w:r w:rsidR="008D05AD">
        <w:t xml:space="preserve">consideration </w:t>
      </w:r>
      <w:r>
        <w:t>of the prosecution case</w:t>
      </w:r>
      <w:bookmarkEnd w:id="23"/>
      <w:bookmarkEnd w:id="24"/>
    </w:p>
    <w:p w14:paraId="13822EF0" w14:textId="35DE7546" w:rsidR="00260BB6" w:rsidRDefault="00260BB6" w:rsidP="009F5F93">
      <w:pPr>
        <w:pStyle w:val="VLADocumentText"/>
        <w:rPr>
          <w:lang w:eastAsia="en-AU"/>
        </w:rPr>
      </w:pPr>
      <w:r w:rsidRPr="00E44D59">
        <w:rPr>
          <w:lang w:eastAsia="en-AU"/>
        </w:rPr>
        <w:t>The independent scrutiny of the prosecution case by a judicial officer is an essential component</w:t>
      </w:r>
      <w:r>
        <w:rPr>
          <w:lang w:eastAsia="en-AU"/>
        </w:rPr>
        <w:t xml:space="preserve"> of a fair system. Scrutiny of the case and the ability to hold parties to account is as relevant at the pre-trial stage as during trial proceedings. Furthermore, now that </w:t>
      </w:r>
      <w:r>
        <w:rPr>
          <w:i/>
          <w:iCs/>
        </w:rPr>
        <w:t>Prasad</w:t>
      </w:r>
      <w:r>
        <w:t xml:space="preserve"> directions have been held to be</w:t>
      </w:r>
      <w:r w:rsidRPr="00CB47A2">
        <w:t xml:space="preserve"> contrary to law</w:t>
      </w:r>
      <w:r>
        <w:t>,</w:t>
      </w:r>
      <w:r>
        <w:rPr>
          <w:rStyle w:val="FootnoteReference"/>
        </w:rPr>
        <w:footnoteReference w:id="15"/>
      </w:r>
      <w:r>
        <w:t xml:space="preserve"> committal proceedings are one of the last independent protections against prosecuting misconceived or weak cases. The </w:t>
      </w:r>
      <w:r w:rsidR="00714C88">
        <w:t>provision</w:t>
      </w:r>
      <w:r>
        <w:t xml:space="preserve"> should highlight </w:t>
      </w:r>
      <w:r w:rsidR="00AF4519">
        <w:t xml:space="preserve">a </w:t>
      </w:r>
      <w:r>
        <w:t xml:space="preserve">purpose of committals </w:t>
      </w:r>
      <w:r w:rsidR="00AF4519">
        <w:t xml:space="preserve">is </w:t>
      </w:r>
      <w:r>
        <w:t>to ensure that the decision to commit an accused for trial is made by an independent</w:t>
      </w:r>
      <w:r w:rsidR="006F1746">
        <w:t xml:space="preserve"> </w:t>
      </w:r>
      <w:r>
        <w:t>decision-maker.</w:t>
      </w:r>
      <w:r w:rsidRPr="00E44D59">
        <w:rPr>
          <w:lang w:eastAsia="en-AU"/>
        </w:rPr>
        <w:t xml:space="preserve"> </w:t>
      </w:r>
      <w:r>
        <w:rPr>
          <w:lang w:eastAsia="en-AU"/>
        </w:rPr>
        <w:t xml:space="preserve">We expand on this below at </w:t>
      </w:r>
      <w:r w:rsidR="00084EEE">
        <w:rPr>
          <w:b/>
          <w:lang w:eastAsia="en-AU"/>
        </w:rPr>
        <w:t>Q</w:t>
      </w:r>
      <w:r w:rsidRPr="00084EEE">
        <w:rPr>
          <w:b/>
          <w:lang w:eastAsia="en-AU"/>
        </w:rPr>
        <w:t xml:space="preserve">uestion </w:t>
      </w:r>
      <w:r w:rsidR="00CA68CC" w:rsidRPr="00084EEE">
        <w:rPr>
          <w:b/>
          <w:lang w:eastAsia="en-AU"/>
        </w:rPr>
        <w:t>14</w:t>
      </w:r>
      <w:r w:rsidR="00CA68CC">
        <w:rPr>
          <w:lang w:eastAsia="en-AU"/>
        </w:rPr>
        <w:t xml:space="preserve">. </w:t>
      </w:r>
    </w:p>
    <w:p w14:paraId="06835E0A" w14:textId="77777777" w:rsidR="00B40571" w:rsidRDefault="00B40571" w:rsidP="009F5F93">
      <w:pPr>
        <w:pStyle w:val="VLADocumentText"/>
        <w:rPr>
          <w:lang w:eastAsia="en-AU"/>
        </w:rPr>
      </w:pPr>
    </w:p>
    <w:tbl>
      <w:tblPr>
        <w:tblStyle w:val="TableGrid"/>
        <w:tblW w:w="8505" w:type="dxa"/>
        <w:tblInd w:w="279" w:type="dxa"/>
        <w:tblLayout w:type="fixed"/>
        <w:tblLook w:val="04A0" w:firstRow="1" w:lastRow="0" w:firstColumn="1" w:lastColumn="0" w:noHBand="0" w:noVBand="1"/>
      </w:tblPr>
      <w:tblGrid>
        <w:gridCol w:w="8505"/>
      </w:tblGrid>
      <w:tr w:rsidR="00B40571" w14:paraId="594B77C5" w14:textId="77777777" w:rsidTr="00F27015">
        <w:trPr>
          <w:trHeight w:val="6369"/>
        </w:trPr>
        <w:tc>
          <w:tcPr>
            <w:tcW w:w="8505" w:type="dxa"/>
          </w:tcPr>
          <w:p w14:paraId="4582D25E" w14:textId="78BB6BEA" w:rsidR="00B40571" w:rsidRPr="002D7F36" w:rsidRDefault="00B40571" w:rsidP="00F51420">
            <w:pPr>
              <w:pStyle w:val="VLAclientexampletitle"/>
            </w:pPr>
            <w:r>
              <w:lastRenderedPageBreak/>
              <w:t>Michelle - Committal processes testing the strength of the prosecution case</w:t>
            </w:r>
          </w:p>
          <w:p w14:paraId="46CD3AD0" w14:textId="11C85AF8" w:rsidR="00B40571" w:rsidDel="6989F030" w:rsidRDefault="00B40571" w:rsidP="00C20D63">
            <w:pPr>
              <w:spacing w:line="276" w:lineRule="auto"/>
            </w:pPr>
            <w:r w:rsidRPr="1C4EB17E">
              <w:rPr>
                <w:rFonts w:eastAsia="Arial" w:cs="Arial"/>
                <w:color w:val="971A4B"/>
                <w:sz w:val="21"/>
                <w:szCs w:val="21"/>
              </w:rPr>
              <w:t xml:space="preserve">Michelle* was charged with armed robbery and </w:t>
            </w:r>
            <w:r>
              <w:rPr>
                <w:rFonts w:eastAsia="Arial" w:cs="Arial"/>
                <w:color w:val="971A4B"/>
                <w:sz w:val="21"/>
                <w:szCs w:val="21"/>
              </w:rPr>
              <w:t xml:space="preserve">a key </w:t>
            </w:r>
            <w:r w:rsidRPr="1C4EB17E">
              <w:rPr>
                <w:rFonts w:eastAsia="Arial" w:cs="Arial"/>
                <w:color w:val="971A4B"/>
                <w:sz w:val="21"/>
                <w:szCs w:val="21"/>
              </w:rPr>
              <w:t xml:space="preserve">issue was </w:t>
            </w:r>
            <w:r>
              <w:rPr>
                <w:rFonts w:eastAsia="Arial" w:cs="Arial"/>
                <w:color w:val="971A4B"/>
                <w:sz w:val="21"/>
                <w:szCs w:val="21"/>
              </w:rPr>
              <w:t xml:space="preserve">the </w:t>
            </w:r>
            <w:r w:rsidRPr="1C4EB17E">
              <w:rPr>
                <w:rFonts w:eastAsia="Arial" w:cs="Arial"/>
                <w:color w:val="971A4B"/>
                <w:sz w:val="21"/>
                <w:szCs w:val="21"/>
              </w:rPr>
              <w:t>identification</w:t>
            </w:r>
            <w:r>
              <w:rPr>
                <w:rFonts w:eastAsia="Arial" w:cs="Arial"/>
                <w:color w:val="971A4B"/>
                <w:sz w:val="21"/>
                <w:szCs w:val="21"/>
              </w:rPr>
              <w:t xml:space="preserve"> of Michelle as the offender</w:t>
            </w:r>
            <w:r w:rsidRPr="1C4EB17E">
              <w:rPr>
                <w:rFonts w:eastAsia="Arial" w:cs="Arial"/>
                <w:color w:val="971A4B"/>
                <w:sz w:val="21"/>
                <w:szCs w:val="21"/>
              </w:rPr>
              <w:t xml:space="preserve">. VLA invited the </w:t>
            </w:r>
            <w:r>
              <w:rPr>
                <w:rFonts w:eastAsia="Arial" w:cs="Arial"/>
                <w:color w:val="971A4B"/>
                <w:sz w:val="21"/>
                <w:szCs w:val="21"/>
              </w:rPr>
              <w:t>p</w:t>
            </w:r>
            <w:r w:rsidRPr="1C4EB17E">
              <w:rPr>
                <w:rFonts w:eastAsia="Arial" w:cs="Arial"/>
                <w:color w:val="971A4B"/>
                <w:sz w:val="21"/>
                <w:szCs w:val="21"/>
              </w:rPr>
              <w:t xml:space="preserve">rosecution to discontinue the proceedings given </w:t>
            </w:r>
            <w:r>
              <w:rPr>
                <w:rFonts w:eastAsia="Arial" w:cs="Arial"/>
                <w:color w:val="971A4B"/>
                <w:sz w:val="21"/>
                <w:szCs w:val="21"/>
              </w:rPr>
              <w:t xml:space="preserve">several </w:t>
            </w:r>
            <w:r w:rsidRPr="1C4EB17E">
              <w:rPr>
                <w:rFonts w:eastAsia="Arial" w:cs="Arial"/>
                <w:color w:val="971A4B"/>
                <w:sz w:val="21"/>
                <w:szCs w:val="21"/>
              </w:rPr>
              <w:t xml:space="preserve">weaknesses of their case in relation to identification. The identification evidence was </w:t>
            </w:r>
            <w:r>
              <w:rPr>
                <w:rFonts w:eastAsia="Arial" w:cs="Arial"/>
                <w:color w:val="971A4B"/>
                <w:sz w:val="21"/>
                <w:szCs w:val="21"/>
              </w:rPr>
              <w:t>provided by</w:t>
            </w:r>
            <w:r w:rsidRPr="1C4EB17E">
              <w:rPr>
                <w:rFonts w:eastAsia="Arial" w:cs="Arial"/>
                <w:color w:val="971A4B"/>
                <w:sz w:val="21"/>
                <w:szCs w:val="21"/>
              </w:rPr>
              <w:t xml:space="preserve"> two witnesses</w:t>
            </w:r>
            <w:r w:rsidR="00553DC3">
              <w:rPr>
                <w:rFonts w:eastAsia="Arial" w:cs="Arial"/>
                <w:color w:val="971A4B"/>
                <w:sz w:val="21"/>
                <w:szCs w:val="21"/>
              </w:rPr>
              <w:t>,</w:t>
            </w:r>
            <w:r w:rsidRPr="1C4EB17E">
              <w:rPr>
                <w:rFonts w:eastAsia="Arial" w:cs="Arial"/>
                <w:color w:val="971A4B"/>
                <w:sz w:val="21"/>
                <w:szCs w:val="21"/>
              </w:rPr>
              <w:t xml:space="preserve"> who purportedly identified </w:t>
            </w:r>
            <w:r>
              <w:rPr>
                <w:rFonts w:eastAsia="Arial" w:cs="Arial"/>
                <w:color w:val="971A4B"/>
                <w:sz w:val="21"/>
                <w:szCs w:val="21"/>
              </w:rPr>
              <w:t xml:space="preserve">Michelle </w:t>
            </w:r>
            <w:r w:rsidRPr="1C4EB17E">
              <w:rPr>
                <w:rFonts w:eastAsia="Arial" w:cs="Arial"/>
                <w:color w:val="971A4B"/>
                <w:sz w:val="21"/>
                <w:szCs w:val="21"/>
              </w:rPr>
              <w:t xml:space="preserve">from nightclub photographs. Their identification was based on one prior meeting where they were not introduced to </w:t>
            </w:r>
            <w:r>
              <w:rPr>
                <w:rFonts w:eastAsia="Arial" w:cs="Arial"/>
                <w:color w:val="971A4B"/>
                <w:sz w:val="21"/>
                <w:szCs w:val="21"/>
              </w:rPr>
              <w:t>Michelle</w:t>
            </w:r>
            <w:r w:rsidRPr="1C4EB17E">
              <w:rPr>
                <w:rFonts w:eastAsia="Arial" w:cs="Arial"/>
                <w:color w:val="971A4B"/>
                <w:sz w:val="21"/>
                <w:szCs w:val="21"/>
              </w:rPr>
              <w:t xml:space="preserve">, did not speak </w:t>
            </w:r>
            <w:r>
              <w:rPr>
                <w:rFonts w:eastAsia="Arial" w:cs="Arial"/>
                <w:color w:val="971A4B"/>
                <w:sz w:val="21"/>
                <w:szCs w:val="21"/>
              </w:rPr>
              <w:t xml:space="preserve">with </w:t>
            </w:r>
            <w:r w:rsidRPr="1C4EB17E">
              <w:rPr>
                <w:rFonts w:eastAsia="Arial" w:cs="Arial"/>
                <w:color w:val="971A4B"/>
                <w:sz w:val="21"/>
                <w:szCs w:val="21"/>
              </w:rPr>
              <w:t xml:space="preserve">her, </w:t>
            </w:r>
            <w:r>
              <w:rPr>
                <w:rFonts w:eastAsia="Arial" w:cs="Arial"/>
                <w:color w:val="971A4B"/>
                <w:sz w:val="21"/>
                <w:szCs w:val="21"/>
              </w:rPr>
              <w:t>were</w:t>
            </w:r>
            <w:r w:rsidRPr="1C4EB17E">
              <w:rPr>
                <w:rFonts w:eastAsia="Arial" w:cs="Arial"/>
                <w:color w:val="971A4B"/>
                <w:sz w:val="21"/>
                <w:szCs w:val="21"/>
              </w:rPr>
              <w:t xml:space="preserve"> told </w:t>
            </w:r>
            <w:r>
              <w:rPr>
                <w:rFonts w:eastAsia="Arial" w:cs="Arial"/>
                <w:color w:val="971A4B"/>
                <w:sz w:val="21"/>
                <w:szCs w:val="21"/>
              </w:rPr>
              <w:t xml:space="preserve">her </w:t>
            </w:r>
            <w:r w:rsidRPr="1C4EB17E">
              <w:rPr>
                <w:rFonts w:eastAsia="Arial" w:cs="Arial"/>
                <w:color w:val="971A4B"/>
                <w:sz w:val="21"/>
                <w:szCs w:val="21"/>
              </w:rPr>
              <w:t xml:space="preserve">name by a third party and could not recall when this </w:t>
            </w:r>
            <w:r>
              <w:rPr>
                <w:rFonts w:eastAsia="Arial" w:cs="Arial"/>
                <w:color w:val="971A4B"/>
                <w:sz w:val="21"/>
                <w:szCs w:val="21"/>
              </w:rPr>
              <w:t>prior</w:t>
            </w:r>
            <w:r w:rsidRPr="1C4EB17E">
              <w:rPr>
                <w:rFonts w:eastAsia="Arial" w:cs="Arial"/>
                <w:color w:val="971A4B"/>
                <w:sz w:val="21"/>
                <w:szCs w:val="21"/>
              </w:rPr>
              <w:t xml:space="preserve"> meeting occurred.</w:t>
            </w:r>
            <w:r>
              <w:rPr>
                <w:rFonts w:eastAsia="Arial" w:cs="Arial"/>
                <w:color w:val="971A4B"/>
                <w:sz w:val="21"/>
                <w:szCs w:val="21"/>
              </w:rPr>
              <w:t xml:space="preserve"> </w:t>
            </w:r>
          </w:p>
          <w:p w14:paraId="4A560F29" w14:textId="4927E3E1" w:rsidR="00B40571" w:rsidDel="6989F030" w:rsidRDefault="00B40571" w:rsidP="00C20D63">
            <w:pPr>
              <w:spacing w:line="276" w:lineRule="auto"/>
            </w:pPr>
            <w:r w:rsidRPr="1C4EB17E">
              <w:rPr>
                <w:rFonts w:eastAsia="Arial" w:cs="Arial"/>
                <w:color w:val="971A4B"/>
                <w:sz w:val="21"/>
                <w:szCs w:val="21"/>
              </w:rPr>
              <w:t xml:space="preserve">The </w:t>
            </w:r>
            <w:r>
              <w:rPr>
                <w:rFonts w:eastAsia="Arial" w:cs="Arial"/>
                <w:color w:val="971A4B"/>
                <w:sz w:val="21"/>
                <w:szCs w:val="21"/>
              </w:rPr>
              <w:t>p</w:t>
            </w:r>
            <w:r w:rsidRPr="1C4EB17E">
              <w:rPr>
                <w:rFonts w:eastAsia="Arial" w:cs="Arial"/>
                <w:color w:val="971A4B"/>
                <w:sz w:val="21"/>
                <w:szCs w:val="21"/>
              </w:rPr>
              <w:t xml:space="preserve">rosecution declined to discontinue the charges and the matter proceeded to committal hearing on the issue of identification. </w:t>
            </w:r>
            <w:r>
              <w:rPr>
                <w:rFonts w:eastAsia="Arial" w:cs="Arial"/>
                <w:color w:val="971A4B"/>
                <w:sz w:val="21"/>
                <w:szCs w:val="21"/>
              </w:rPr>
              <w:t xml:space="preserve">At the committal hearing </w:t>
            </w:r>
            <w:r w:rsidRPr="1C4EB17E">
              <w:rPr>
                <w:rFonts w:eastAsia="Arial" w:cs="Arial"/>
                <w:color w:val="971A4B"/>
                <w:sz w:val="21"/>
                <w:szCs w:val="21"/>
              </w:rPr>
              <w:t xml:space="preserve">a single witness was cross-examined on </w:t>
            </w:r>
            <w:r>
              <w:rPr>
                <w:rFonts w:eastAsia="Arial" w:cs="Arial"/>
                <w:color w:val="971A4B"/>
                <w:sz w:val="21"/>
                <w:szCs w:val="21"/>
              </w:rPr>
              <w:t>identification</w:t>
            </w:r>
            <w:r w:rsidRPr="1C4EB17E">
              <w:rPr>
                <w:rFonts w:eastAsia="Arial" w:cs="Arial"/>
                <w:color w:val="971A4B"/>
                <w:sz w:val="21"/>
                <w:szCs w:val="21"/>
              </w:rPr>
              <w:t>.</w:t>
            </w:r>
            <w:r>
              <w:rPr>
                <w:rFonts w:eastAsia="Arial" w:cs="Arial"/>
                <w:color w:val="971A4B"/>
                <w:sz w:val="21"/>
                <w:szCs w:val="21"/>
              </w:rPr>
              <w:t xml:space="preserve"> Having heard </w:t>
            </w:r>
            <w:r w:rsidRPr="00B40571">
              <w:rPr>
                <w:rFonts w:eastAsia="Arial" w:cs="Arial"/>
                <w:color w:val="971A4B"/>
                <w:sz w:val="21"/>
                <w:szCs w:val="21"/>
              </w:rPr>
              <w:t>the evidence of the witness on the issue of identification t</w:t>
            </w:r>
            <w:r>
              <w:rPr>
                <w:rFonts w:eastAsia="Arial" w:cs="Arial"/>
                <w:color w:val="971A4B"/>
                <w:sz w:val="21"/>
                <w:szCs w:val="21"/>
              </w:rPr>
              <w:t>he m</w:t>
            </w:r>
            <w:r w:rsidRPr="5177C62C">
              <w:rPr>
                <w:rFonts w:eastAsia="Arial" w:cs="Arial"/>
                <w:color w:val="971A4B"/>
                <w:sz w:val="21"/>
                <w:szCs w:val="21"/>
              </w:rPr>
              <w:t xml:space="preserve">agistrate </w:t>
            </w:r>
            <w:r>
              <w:rPr>
                <w:rFonts w:eastAsia="Arial" w:cs="Arial"/>
                <w:color w:val="971A4B"/>
                <w:sz w:val="21"/>
                <w:szCs w:val="21"/>
              </w:rPr>
              <w:t>discharged Michelle of the charges at the end of the committal hearing. The p</w:t>
            </w:r>
            <w:r w:rsidRPr="5177C62C">
              <w:rPr>
                <w:rFonts w:eastAsia="Arial" w:cs="Arial"/>
                <w:color w:val="971A4B"/>
                <w:sz w:val="21"/>
                <w:szCs w:val="21"/>
              </w:rPr>
              <w:t xml:space="preserve">rosecution did not lay a direct indictment. </w:t>
            </w:r>
          </w:p>
          <w:p w14:paraId="62906A50" w14:textId="3853911B" w:rsidR="00B40571" w:rsidRPr="003B4389" w:rsidRDefault="00B40571" w:rsidP="00C20D63">
            <w:pPr>
              <w:pStyle w:val="VLAclientexample"/>
              <w:spacing w:line="276" w:lineRule="auto"/>
              <w:rPr>
                <w:b/>
              </w:rPr>
            </w:pPr>
            <w:r w:rsidRPr="003B4389">
              <w:rPr>
                <w:rFonts w:eastAsia="Arial" w:cs="Arial"/>
              </w:rPr>
              <w:t xml:space="preserve">In this matter </w:t>
            </w:r>
            <w:r w:rsidRPr="00BE2B57">
              <w:rPr>
                <w:rFonts w:eastAsia="Arial" w:cs="Arial"/>
              </w:rPr>
              <w:t>an independent m</w:t>
            </w:r>
            <w:r w:rsidRPr="003D40C5">
              <w:rPr>
                <w:rFonts w:eastAsia="Arial" w:cs="Arial"/>
              </w:rPr>
              <w:t>agistrate formed the view that there was not sufficient evidence to support</w:t>
            </w:r>
            <w:r w:rsidRPr="00B40571">
              <w:rPr>
                <w:rFonts w:eastAsia="Arial" w:cs="Arial"/>
              </w:rPr>
              <w:t xml:space="preserve"> a conviction, despite the different view of the prosecution.</w:t>
            </w:r>
            <w:r w:rsidR="00073140">
              <w:rPr>
                <w:rFonts w:eastAsia="Arial" w:cs="Arial"/>
              </w:rPr>
              <w:t xml:space="preserve"> </w:t>
            </w:r>
            <w:r w:rsidRPr="00B40571">
              <w:rPr>
                <w:rFonts w:eastAsia="Arial" w:cs="Arial"/>
              </w:rPr>
              <w:t xml:space="preserve">Had the matter gone straight to trial, all parties would have incurred greater costs in the County Court to conduct the same testing of the evidence. The </w:t>
            </w:r>
            <w:r w:rsidR="003F1FC6">
              <w:rPr>
                <w:rFonts w:eastAsia="Arial" w:cs="Arial"/>
              </w:rPr>
              <w:t>p</w:t>
            </w:r>
            <w:r w:rsidRPr="00B40571">
              <w:rPr>
                <w:rFonts w:eastAsia="Arial" w:cs="Arial"/>
              </w:rPr>
              <w:t xml:space="preserve">rosecution also benefited from the committal as this saved the </w:t>
            </w:r>
            <w:r w:rsidR="003F1FC6">
              <w:rPr>
                <w:rFonts w:eastAsia="Arial" w:cs="Arial"/>
              </w:rPr>
              <w:t>s</w:t>
            </w:r>
            <w:r w:rsidRPr="00B40571">
              <w:rPr>
                <w:rFonts w:eastAsia="Arial" w:cs="Arial"/>
              </w:rPr>
              <w:t>tate the greater costs it incurs when having to call all relevant witnesses at trial.</w:t>
            </w:r>
            <w:r w:rsidR="00073140">
              <w:rPr>
                <w:rFonts w:eastAsia="Arial" w:cs="Arial"/>
              </w:rPr>
              <w:t xml:space="preserve">  </w:t>
            </w:r>
            <w:r w:rsidRPr="00B40571">
              <w:rPr>
                <w:rFonts w:eastAsia="Arial" w:cs="Arial"/>
              </w:rPr>
              <w:t xml:space="preserve"> </w:t>
            </w:r>
            <w:r>
              <w:br/>
            </w:r>
            <w:r w:rsidRPr="003B4389">
              <w:rPr>
                <w:rFonts w:eastAsia="Arial" w:cs="Arial"/>
              </w:rPr>
              <w:t xml:space="preserve"> </w:t>
            </w:r>
            <w:r>
              <w:br/>
            </w:r>
            <w:r w:rsidRPr="003B4389">
              <w:rPr>
                <w:rFonts w:eastAsia="Arial" w:cs="Arial"/>
              </w:rPr>
              <w:t xml:space="preserve"> *VLA client, not her real name</w:t>
            </w:r>
          </w:p>
        </w:tc>
      </w:tr>
    </w:tbl>
    <w:p w14:paraId="2500C96B" w14:textId="77777777" w:rsidR="009C56F5" w:rsidRDefault="009C56F5" w:rsidP="009C56F5">
      <w:bookmarkStart w:id="25" w:name="_Toc17050661"/>
    </w:p>
    <w:p w14:paraId="5B445025" w14:textId="4C84FD93" w:rsidR="00260BB6" w:rsidRPr="00E44D59" w:rsidRDefault="00260BB6" w:rsidP="00AD0DA7">
      <w:pPr>
        <w:pStyle w:val="Heading1"/>
      </w:pPr>
      <w:bookmarkStart w:id="26" w:name="_Toc17155076"/>
      <w:r w:rsidRPr="00E44D59">
        <w:t>Question 2. What, if any, measures should be introduced to: a)</w:t>
      </w:r>
      <w:r w:rsidR="00625FE9">
        <w:t xml:space="preserve"> r</w:t>
      </w:r>
      <w:r w:rsidRPr="00E44D59">
        <w:t>educe the difference between charges that are initially filed and those ultimately prosecuted?</w:t>
      </w:r>
      <w:r>
        <w:t xml:space="preserve"> and </w:t>
      </w:r>
      <w:r w:rsidRPr="00E44D59">
        <w:t xml:space="preserve">b) </w:t>
      </w:r>
      <w:r w:rsidR="00625FE9">
        <w:t>e</w:t>
      </w:r>
      <w:r w:rsidRPr="00E44D59">
        <w:t>nsure appropriate charges are filed at the earliest possible stage in a case?</w:t>
      </w:r>
      <w:bookmarkEnd w:id="25"/>
      <w:bookmarkEnd w:id="26"/>
    </w:p>
    <w:p w14:paraId="45D836AD" w14:textId="6426A8C0" w:rsidR="0094051D" w:rsidRDefault="00C57E15" w:rsidP="007D12CA">
      <w:pPr>
        <w:pStyle w:val="VLADocumentText"/>
        <w:rPr>
          <w:lang w:eastAsia="en-AU"/>
        </w:rPr>
      </w:pPr>
      <w:r>
        <w:rPr>
          <w:lang w:eastAsia="en-AU"/>
        </w:rPr>
        <w:t xml:space="preserve">VLA supports </w:t>
      </w:r>
      <w:r w:rsidR="00690A0F">
        <w:rPr>
          <w:lang w:eastAsia="en-AU"/>
        </w:rPr>
        <w:t xml:space="preserve">improvements to </w:t>
      </w:r>
      <w:r w:rsidR="00AD7049">
        <w:rPr>
          <w:lang w:eastAsia="en-AU"/>
        </w:rPr>
        <w:t>charging</w:t>
      </w:r>
      <w:r w:rsidR="00BA34CC">
        <w:rPr>
          <w:lang w:eastAsia="en-AU"/>
        </w:rPr>
        <w:t xml:space="preserve"> </w:t>
      </w:r>
      <w:r w:rsidR="00690A0F">
        <w:rPr>
          <w:lang w:eastAsia="en-AU"/>
        </w:rPr>
        <w:t xml:space="preserve">practices to </w:t>
      </w:r>
      <w:r w:rsidR="00BE12B6">
        <w:rPr>
          <w:lang w:eastAsia="en-AU"/>
        </w:rPr>
        <w:t xml:space="preserve">reduce the </w:t>
      </w:r>
      <w:r w:rsidR="00BA34CC">
        <w:rPr>
          <w:lang w:eastAsia="en-AU"/>
        </w:rPr>
        <w:t xml:space="preserve">discrepancy </w:t>
      </w:r>
      <w:r w:rsidR="0055365A">
        <w:rPr>
          <w:lang w:eastAsia="en-AU"/>
        </w:rPr>
        <w:t xml:space="preserve">between charges that are filed and those that proceed to prosecution. </w:t>
      </w:r>
      <w:r w:rsidR="00A60A65">
        <w:rPr>
          <w:lang w:eastAsia="en-AU"/>
        </w:rPr>
        <w:t xml:space="preserve">Changes in the number and nature of charges that proceed can </w:t>
      </w:r>
      <w:r w:rsidR="00F335A6">
        <w:rPr>
          <w:lang w:eastAsia="en-AU"/>
        </w:rPr>
        <w:t xml:space="preserve">be </w:t>
      </w:r>
      <w:r w:rsidR="00334610">
        <w:rPr>
          <w:lang w:eastAsia="en-AU"/>
        </w:rPr>
        <w:t xml:space="preserve">particularly </w:t>
      </w:r>
      <w:r w:rsidR="00F80109">
        <w:rPr>
          <w:lang w:eastAsia="en-AU"/>
        </w:rPr>
        <w:t>challenging for victims</w:t>
      </w:r>
      <w:r w:rsidR="00553DC3">
        <w:rPr>
          <w:lang w:eastAsia="en-AU"/>
        </w:rPr>
        <w:t>,</w:t>
      </w:r>
      <w:r w:rsidR="00334610">
        <w:rPr>
          <w:lang w:eastAsia="en-AU"/>
        </w:rPr>
        <w:t xml:space="preserve"> </w:t>
      </w:r>
      <w:r w:rsidR="00F80109">
        <w:rPr>
          <w:lang w:eastAsia="en-AU"/>
        </w:rPr>
        <w:t xml:space="preserve">can place </w:t>
      </w:r>
      <w:r w:rsidR="0057034D">
        <w:rPr>
          <w:lang w:eastAsia="en-AU"/>
        </w:rPr>
        <w:t xml:space="preserve">an </w:t>
      </w:r>
      <w:r w:rsidR="00F80109">
        <w:rPr>
          <w:lang w:eastAsia="en-AU"/>
        </w:rPr>
        <w:t xml:space="preserve">additional </w:t>
      </w:r>
      <w:r w:rsidR="0057034D">
        <w:rPr>
          <w:lang w:eastAsia="en-AU"/>
        </w:rPr>
        <w:t xml:space="preserve">time and resource </w:t>
      </w:r>
      <w:r w:rsidR="00F80109">
        <w:rPr>
          <w:lang w:eastAsia="en-AU"/>
        </w:rPr>
        <w:t xml:space="preserve">burden on criminal </w:t>
      </w:r>
      <w:r w:rsidR="008647C2">
        <w:rPr>
          <w:lang w:eastAsia="en-AU"/>
        </w:rPr>
        <w:t xml:space="preserve">justice </w:t>
      </w:r>
      <w:r w:rsidR="00A03A3A">
        <w:rPr>
          <w:lang w:eastAsia="en-AU"/>
        </w:rPr>
        <w:t>agencies</w:t>
      </w:r>
      <w:r w:rsidR="00553DC3">
        <w:rPr>
          <w:lang w:eastAsia="en-AU"/>
        </w:rPr>
        <w:t>,</w:t>
      </w:r>
      <w:r w:rsidR="00A03A3A">
        <w:rPr>
          <w:lang w:eastAsia="en-AU"/>
        </w:rPr>
        <w:t xml:space="preserve"> </w:t>
      </w:r>
      <w:r w:rsidR="0094051D">
        <w:rPr>
          <w:lang w:eastAsia="en-AU"/>
        </w:rPr>
        <w:t xml:space="preserve">and can delay </w:t>
      </w:r>
      <w:r w:rsidR="003D43A2">
        <w:rPr>
          <w:lang w:eastAsia="en-AU"/>
        </w:rPr>
        <w:t>a guilty plea</w:t>
      </w:r>
      <w:r w:rsidR="008647C2">
        <w:rPr>
          <w:lang w:eastAsia="en-AU"/>
        </w:rPr>
        <w:t xml:space="preserve">. </w:t>
      </w:r>
    </w:p>
    <w:p w14:paraId="74251501" w14:textId="4882CB80" w:rsidR="007D12CA" w:rsidRDefault="0057034D" w:rsidP="007D12CA">
      <w:pPr>
        <w:pStyle w:val="VLADocumentText"/>
        <w:rPr>
          <w:lang w:eastAsia="en-AU"/>
        </w:rPr>
      </w:pPr>
      <w:r>
        <w:rPr>
          <w:lang w:eastAsia="en-AU"/>
        </w:rPr>
        <w:t xml:space="preserve">In our view, </w:t>
      </w:r>
      <w:r w:rsidR="00184168">
        <w:rPr>
          <w:lang w:eastAsia="en-AU"/>
        </w:rPr>
        <w:t>sign</w:t>
      </w:r>
      <w:r w:rsidR="00BD391E">
        <w:rPr>
          <w:lang w:eastAsia="en-AU"/>
        </w:rPr>
        <w:t xml:space="preserve">ificant </w:t>
      </w:r>
      <w:r>
        <w:rPr>
          <w:lang w:eastAsia="en-AU"/>
        </w:rPr>
        <w:t>change</w:t>
      </w:r>
      <w:r w:rsidR="00B603B2">
        <w:rPr>
          <w:lang w:eastAsia="en-AU"/>
        </w:rPr>
        <w:t>s to support</w:t>
      </w:r>
      <w:r>
        <w:rPr>
          <w:lang w:eastAsia="en-AU"/>
        </w:rPr>
        <w:t xml:space="preserve"> </w:t>
      </w:r>
      <w:r w:rsidR="009619F5">
        <w:rPr>
          <w:lang w:eastAsia="en-AU"/>
        </w:rPr>
        <w:t>early resolution</w:t>
      </w:r>
      <w:r>
        <w:rPr>
          <w:lang w:eastAsia="en-AU"/>
        </w:rPr>
        <w:t xml:space="preserve"> can be achieve</w:t>
      </w:r>
      <w:r w:rsidR="008D0BEF">
        <w:rPr>
          <w:lang w:eastAsia="en-AU"/>
        </w:rPr>
        <w:t>d</w:t>
      </w:r>
      <w:r>
        <w:rPr>
          <w:lang w:eastAsia="en-AU"/>
        </w:rPr>
        <w:t xml:space="preserve"> through</w:t>
      </w:r>
      <w:r w:rsidR="00E66BE5">
        <w:rPr>
          <w:lang w:eastAsia="en-AU"/>
        </w:rPr>
        <w:t>:</w:t>
      </w:r>
      <w:r w:rsidR="007D12CA">
        <w:rPr>
          <w:lang w:eastAsia="en-AU"/>
        </w:rPr>
        <w:t xml:space="preserve"> </w:t>
      </w:r>
    </w:p>
    <w:p w14:paraId="4DA3BFB3" w14:textId="3EBBFC74" w:rsidR="007D12CA" w:rsidRDefault="007D12CA" w:rsidP="007D12CA">
      <w:pPr>
        <w:pStyle w:val="VLADocumentText"/>
        <w:numPr>
          <w:ilvl w:val="0"/>
          <w:numId w:val="45"/>
        </w:numPr>
        <w:rPr>
          <w:lang w:eastAsia="en-AU"/>
        </w:rPr>
      </w:pPr>
      <w:r>
        <w:rPr>
          <w:lang w:eastAsia="en-AU"/>
        </w:rPr>
        <w:t>a focus on improving the appropriateness of the charges initially laid</w:t>
      </w:r>
      <w:r w:rsidR="00137884">
        <w:rPr>
          <w:lang w:eastAsia="en-AU"/>
        </w:rPr>
        <w:t>;</w:t>
      </w:r>
      <w:r>
        <w:rPr>
          <w:lang w:eastAsia="en-AU"/>
        </w:rPr>
        <w:t xml:space="preserve"> </w:t>
      </w:r>
    </w:p>
    <w:p w14:paraId="752BD2C6" w14:textId="4CD0CB80" w:rsidR="007D12CA" w:rsidRDefault="007D12CA" w:rsidP="00642AC7">
      <w:pPr>
        <w:pStyle w:val="VLADocumentText"/>
        <w:numPr>
          <w:ilvl w:val="0"/>
          <w:numId w:val="45"/>
        </w:numPr>
        <w:rPr>
          <w:lang w:eastAsia="en-AU"/>
        </w:rPr>
      </w:pPr>
      <w:r>
        <w:rPr>
          <w:lang w:eastAsia="en-AU"/>
        </w:rPr>
        <w:t>early engagement and oversight by the relevant prosecuting agency</w:t>
      </w:r>
      <w:r w:rsidR="00137884">
        <w:rPr>
          <w:lang w:eastAsia="en-AU"/>
        </w:rPr>
        <w:t>;</w:t>
      </w:r>
    </w:p>
    <w:p w14:paraId="14E0DE86" w14:textId="27321CAC" w:rsidR="006612DC" w:rsidRDefault="007D12CA" w:rsidP="00642AC7">
      <w:pPr>
        <w:pStyle w:val="VLADocumentText"/>
        <w:numPr>
          <w:ilvl w:val="0"/>
          <w:numId w:val="45"/>
        </w:numPr>
        <w:rPr>
          <w:lang w:eastAsia="en-AU"/>
        </w:rPr>
      </w:pPr>
      <w:r>
        <w:rPr>
          <w:lang w:eastAsia="en-AU"/>
        </w:rPr>
        <w:t>improved disclosure and active engagement with the evidence by both the prosecution and defence lawyers at an early stage (rather than waiting until committal hearing).</w:t>
      </w:r>
      <w:r w:rsidR="00B5654F">
        <w:rPr>
          <w:lang w:eastAsia="en-AU"/>
        </w:rPr>
        <w:t xml:space="preserve"> </w:t>
      </w:r>
    </w:p>
    <w:p w14:paraId="4D09EF39" w14:textId="542AF239" w:rsidR="002E54B7" w:rsidRDefault="007D12CA" w:rsidP="007A3A3A">
      <w:pPr>
        <w:pStyle w:val="Heading3"/>
      </w:pPr>
      <w:bookmarkStart w:id="27" w:name="_Toc17050662"/>
      <w:bookmarkStart w:id="28" w:name="_Toc17155077"/>
      <w:r>
        <w:t xml:space="preserve">1. </w:t>
      </w:r>
      <w:r w:rsidR="002E54B7">
        <w:t>Improved charging practices</w:t>
      </w:r>
      <w:bookmarkEnd w:id="27"/>
      <w:bookmarkEnd w:id="28"/>
    </w:p>
    <w:p w14:paraId="7C23C9CB" w14:textId="77777777" w:rsidR="00D140E2" w:rsidRDefault="002E54B7" w:rsidP="002E54B7">
      <w:pPr>
        <w:pStyle w:val="VLADocumentText"/>
      </w:pPr>
      <w:r>
        <w:t>Ideally, t</w:t>
      </w:r>
      <w:r w:rsidRPr="00B60E47">
        <w:t>he initial charge</w:t>
      </w:r>
      <w:r>
        <w:t>(s) filed should</w:t>
      </w:r>
      <w:r w:rsidRPr="00B60E47">
        <w:t xml:space="preserve"> </w:t>
      </w:r>
      <w:r>
        <w:t xml:space="preserve">properly </w:t>
      </w:r>
      <w:r w:rsidRPr="00B60E47">
        <w:t>reflect the actual criminal conduct for which a person is accused</w:t>
      </w:r>
      <w:r>
        <w:t xml:space="preserve"> and for which guilt can be proven on the available evidence. </w:t>
      </w:r>
    </w:p>
    <w:p w14:paraId="38494C24" w14:textId="0DA55D5C" w:rsidR="00BE031A" w:rsidRPr="00F65761" w:rsidRDefault="00BE031A" w:rsidP="00BE031A">
      <w:pPr>
        <w:pStyle w:val="VLADocumentText"/>
        <w:rPr>
          <w:rFonts w:cstheme="minorHAnsi"/>
          <w:color w:val="000000"/>
          <w:lang w:eastAsia="en-AU"/>
        </w:rPr>
      </w:pPr>
      <w:r w:rsidRPr="002C1F8B">
        <w:lastRenderedPageBreak/>
        <w:t xml:space="preserve">The NSW Law Reform Commission (NSWLRC) </w:t>
      </w:r>
      <w:r w:rsidRPr="006865A7">
        <w:t>concluded</w:t>
      </w:r>
      <w:r w:rsidRPr="002C1F8B">
        <w:t xml:space="preserve"> that </w:t>
      </w:r>
      <w:r>
        <w:t>“</w:t>
      </w:r>
      <w:r w:rsidRPr="002C1F8B">
        <w:t>charging practices are one of many interrelated systemic factors that contribute to the entry of late guilty pleas in NSW</w:t>
      </w:r>
      <w:r>
        <w:t>”</w:t>
      </w:r>
      <w:r w:rsidRPr="002C1F8B">
        <w:t>.</w:t>
      </w:r>
      <w:bookmarkStart w:id="29" w:name="_Ref17104459"/>
      <w:r w:rsidRPr="002C1F8B">
        <w:rPr>
          <w:rStyle w:val="FootnoteReference"/>
        </w:rPr>
        <w:footnoteReference w:id="16"/>
      </w:r>
      <w:bookmarkEnd w:id="29"/>
      <w:r>
        <w:t xml:space="preserve"> The Australian Law Reform Commission highlighted the significance of charging decisions in their report into incarceration rates of Aboriginal and Torres Strait Islander peoples, noting: </w:t>
      </w:r>
    </w:p>
    <w:p w14:paraId="6EFAD8BE" w14:textId="5C75F6DE" w:rsidR="00BE031A" w:rsidRPr="005E5FDD" w:rsidRDefault="009678AA" w:rsidP="00BE031A">
      <w:pPr>
        <w:pStyle w:val="VLAquotation"/>
        <w:jc w:val="both"/>
      </w:pPr>
      <w:r>
        <w:t>[</w:t>
      </w:r>
      <w:r w:rsidR="00BE031A" w:rsidRPr="00D66790">
        <w:t>c</w:t>
      </w:r>
      <w:r>
        <w:t>]</w:t>
      </w:r>
      <w:r w:rsidR="00BE031A" w:rsidRPr="00D66790">
        <w:t>harging practices can impact on the likelihood of an inappropriate guilty plea, the likelihood of bail refusal, and ultimately the likelihood of the accused receiving a term of imprisonment. Charging decisions interact with criminal justice systems which are designed to encourage and reward early guilty pleas with sentence discounts to save considerable public resources.</w:t>
      </w:r>
      <w:r w:rsidR="00BE031A">
        <w:rPr>
          <w:rStyle w:val="FootnoteReference"/>
        </w:rPr>
        <w:footnoteReference w:id="17"/>
      </w:r>
      <w:r w:rsidR="00BE031A">
        <w:t xml:space="preserve"> </w:t>
      </w:r>
    </w:p>
    <w:p w14:paraId="73042200" w14:textId="2C7A4F4E" w:rsidR="00260BB6" w:rsidRDefault="004D3704" w:rsidP="00260BB6">
      <w:pPr>
        <w:pStyle w:val="VLADocumentText"/>
      </w:pPr>
      <w:r>
        <w:rPr>
          <w:rFonts w:cstheme="minorHAnsi"/>
          <w:color w:val="000000"/>
          <w:lang w:eastAsia="en-AU"/>
        </w:rPr>
        <w:t>The</w:t>
      </w:r>
      <w:r w:rsidR="00260BB6" w:rsidRPr="007C2343">
        <w:rPr>
          <w:rFonts w:cstheme="minorHAnsi"/>
          <w:color w:val="000000"/>
          <w:lang w:eastAsia="en-AU"/>
        </w:rPr>
        <w:t xml:space="preserve"> practice </w:t>
      </w:r>
      <w:r>
        <w:rPr>
          <w:rFonts w:cstheme="minorHAnsi"/>
          <w:color w:val="000000"/>
          <w:lang w:eastAsia="en-AU"/>
        </w:rPr>
        <w:t xml:space="preserve">of </w:t>
      </w:r>
      <w:r w:rsidR="00260BB6" w:rsidRPr="006137B6">
        <w:rPr>
          <w:rFonts w:cstheme="minorHAnsi"/>
          <w:color w:val="000000"/>
          <w:lang w:eastAsia="en-AU"/>
        </w:rPr>
        <w:t>charg</w:t>
      </w:r>
      <w:r>
        <w:rPr>
          <w:rFonts w:cstheme="minorHAnsi"/>
          <w:color w:val="000000"/>
          <w:lang w:eastAsia="en-AU"/>
        </w:rPr>
        <w:t>ing an accused</w:t>
      </w:r>
      <w:r w:rsidR="00B5654F">
        <w:rPr>
          <w:rFonts w:cstheme="minorHAnsi"/>
          <w:color w:val="000000"/>
          <w:lang w:eastAsia="en-AU"/>
        </w:rPr>
        <w:t xml:space="preserve"> </w:t>
      </w:r>
      <w:r w:rsidR="00260BB6" w:rsidRPr="006137B6">
        <w:rPr>
          <w:rFonts w:cstheme="minorHAnsi"/>
          <w:color w:val="000000"/>
          <w:lang w:eastAsia="en-AU"/>
        </w:rPr>
        <w:t xml:space="preserve">with multiple offences in relation to one </w:t>
      </w:r>
      <w:r w:rsidR="00260BB6" w:rsidRPr="00B60E47">
        <w:t>incident</w:t>
      </w:r>
      <w:r w:rsidR="005A02E3">
        <w:t>,</w:t>
      </w:r>
      <w:r w:rsidR="00260BB6" w:rsidRPr="00B60E47">
        <w:t xml:space="preserve"> or charg</w:t>
      </w:r>
      <w:r w:rsidR="005A02E3">
        <w:t>ing</w:t>
      </w:r>
      <w:r w:rsidR="00260BB6" w:rsidRPr="00B60E47">
        <w:t xml:space="preserve"> too </w:t>
      </w:r>
      <w:r w:rsidR="00260BB6">
        <w:t>serious</w:t>
      </w:r>
      <w:r w:rsidR="00260BB6" w:rsidRPr="00B60E47">
        <w:t xml:space="preserve"> an offence</w:t>
      </w:r>
      <w:r w:rsidR="00260BB6" w:rsidRPr="007C2343">
        <w:t xml:space="preserve"> for the conduct</w:t>
      </w:r>
      <w:r w:rsidR="005A02E3">
        <w:t xml:space="preserve"> in question</w:t>
      </w:r>
      <w:r w:rsidR="00260BB6" w:rsidRPr="00B60E47">
        <w:t>, or both</w:t>
      </w:r>
      <w:r w:rsidR="00260BB6" w:rsidRPr="007C2343">
        <w:t xml:space="preserve">, is </w:t>
      </w:r>
      <w:r w:rsidR="00A7066E">
        <w:t>commonly referred to as</w:t>
      </w:r>
      <w:r w:rsidR="00A7066E" w:rsidRPr="00B60E47">
        <w:t xml:space="preserve"> </w:t>
      </w:r>
      <w:r w:rsidR="00260BB6" w:rsidRPr="00B60E47">
        <w:t>‘overcharging’</w:t>
      </w:r>
      <w:r w:rsidR="00260BB6" w:rsidRPr="007C2343">
        <w:t xml:space="preserve">. </w:t>
      </w:r>
      <w:r w:rsidR="00260BB6">
        <w:t xml:space="preserve">Overcharging has several detrimental impacts on participants in the system: </w:t>
      </w:r>
    </w:p>
    <w:p w14:paraId="00993EC8" w14:textId="3C11EFDB" w:rsidR="00260BB6" w:rsidRDefault="008032F7" w:rsidP="00DB4763">
      <w:pPr>
        <w:pStyle w:val="VLADocumentText"/>
        <w:numPr>
          <w:ilvl w:val="0"/>
          <w:numId w:val="15"/>
        </w:numPr>
      </w:pPr>
      <w:r>
        <w:t>o</w:t>
      </w:r>
      <w:r w:rsidR="00260BB6">
        <w:t xml:space="preserve">vercharging can result in </w:t>
      </w:r>
      <w:r w:rsidR="00260BB6" w:rsidRPr="00B60E47">
        <w:t>waste</w:t>
      </w:r>
      <w:r w:rsidR="00260BB6">
        <w:t>d</w:t>
      </w:r>
      <w:r w:rsidR="00260BB6" w:rsidRPr="00B60E47">
        <w:t xml:space="preserve"> time in the consideration and testing of charges which should not have been laid</w:t>
      </w:r>
      <w:r>
        <w:t>;</w:t>
      </w:r>
    </w:p>
    <w:p w14:paraId="120A3DF9" w14:textId="307E73D1" w:rsidR="00260BB6" w:rsidRDefault="008032F7" w:rsidP="00DB4763">
      <w:pPr>
        <w:pStyle w:val="VLADocumentText"/>
        <w:numPr>
          <w:ilvl w:val="0"/>
          <w:numId w:val="15"/>
        </w:numPr>
      </w:pPr>
      <w:r>
        <w:t>o</w:t>
      </w:r>
      <w:r w:rsidR="00260BB6">
        <w:t>vercharging increases the likelihood of a person being</w:t>
      </w:r>
      <w:r w:rsidR="00260BB6" w:rsidRPr="00B60E47">
        <w:t xml:space="preserve"> refused bail</w:t>
      </w:r>
      <w:r w:rsidR="009F160D">
        <w:t>;</w:t>
      </w:r>
      <w:r w:rsidR="00260BB6">
        <w:t xml:space="preserve"> </w:t>
      </w:r>
      <w:r w:rsidR="009F160D">
        <w:t>t</w:t>
      </w:r>
      <w:r w:rsidR="00260BB6">
        <w:t>his has taken on particular significance following the introduction of categories of offences for which a person must demonstrate exceptional circumstances to get bail in May 2018</w:t>
      </w:r>
      <w:r>
        <w:t>;</w:t>
      </w:r>
      <w:r w:rsidR="00260BB6">
        <w:rPr>
          <w:rStyle w:val="FootnoteReference"/>
        </w:rPr>
        <w:footnoteReference w:id="18"/>
      </w:r>
    </w:p>
    <w:p w14:paraId="2DF83F98" w14:textId="7E2DDEC1" w:rsidR="00260BB6" w:rsidRDefault="008032F7" w:rsidP="00DB4763">
      <w:pPr>
        <w:pStyle w:val="VLADocumentText"/>
        <w:numPr>
          <w:ilvl w:val="0"/>
          <w:numId w:val="15"/>
        </w:numPr>
      </w:pPr>
      <w:r>
        <w:t>o</w:t>
      </w:r>
      <w:r w:rsidR="00260BB6">
        <w:t>vercharging gives victims a misleading impression about the possible results and sentences</w:t>
      </w:r>
      <w:r w:rsidR="00B7415F">
        <w:t xml:space="preserve"> </w:t>
      </w:r>
      <w:r w:rsidR="00260BB6">
        <w:t xml:space="preserve">and can create dissatisfaction </w:t>
      </w:r>
      <w:r w:rsidR="002E54B7">
        <w:t xml:space="preserve">and distress </w:t>
      </w:r>
      <w:r w:rsidR="00260BB6">
        <w:t xml:space="preserve">when charges are reduced in number or seriousness. </w:t>
      </w:r>
    </w:p>
    <w:p w14:paraId="6AE4DC36" w14:textId="66E2F19E" w:rsidR="00DB34BB" w:rsidRDefault="00C05F6E" w:rsidP="00DB34BB">
      <w:pPr>
        <w:pStyle w:val="VLADocumentText"/>
      </w:pPr>
      <w:r>
        <w:rPr>
          <w:noProof/>
        </w:rPr>
        <mc:AlternateContent>
          <mc:Choice Requires="wps">
            <w:drawing>
              <wp:anchor distT="45720" distB="45720" distL="114300" distR="114300" simplePos="0" relativeHeight="251659264" behindDoc="0" locked="0" layoutInCell="1" allowOverlap="1" wp14:anchorId="2968460E" wp14:editId="4FB1DD53">
                <wp:simplePos x="0" y="0"/>
                <wp:positionH relativeFrom="margin">
                  <wp:posOffset>66675</wp:posOffset>
                </wp:positionH>
                <wp:positionV relativeFrom="paragraph">
                  <wp:posOffset>1233805</wp:posOffset>
                </wp:positionV>
                <wp:extent cx="5666105" cy="1404620"/>
                <wp:effectExtent l="0" t="0" r="1079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404620"/>
                        </a:xfrm>
                        <a:prstGeom prst="rect">
                          <a:avLst/>
                        </a:prstGeom>
                        <a:solidFill>
                          <a:srgbClr val="FFFFFF"/>
                        </a:solidFill>
                        <a:ln w="9525">
                          <a:solidFill>
                            <a:srgbClr val="000000"/>
                          </a:solidFill>
                          <a:miter lim="800000"/>
                          <a:headEnd/>
                          <a:tailEnd/>
                        </a:ln>
                      </wps:spPr>
                      <wps:txbx>
                        <w:txbxContent>
                          <w:p w14:paraId="618DB7F8" w14:textId="77777777" w:rsidR="00241E56" w:rsidRDefault="00241E56" w:rsidP="00C05F6E">
                            <w:pPr>
                              <w:pStyle w:val="VLAclientexampletitle"/>
                              <w:keepNext w:val="0"/>
                            </w:pPr>
                            <w:r w:rsidRPr="3A820004">
                              <w:t>Josh</w:t>
                            </w:r>
                            <w:r>
                              <w:t xml:space="preserve"> – Overcharging example </w:t>
                            </w:r>
                          </w:p>
                          <w:p w14:paraId="14D79291" w14:textId="77777777" w:rsidR="00241E56" w:rsidRPr="00F51420" w:rsidRDefault="00241E56" w:rsidP="00C05F6E">
                            <w:pPr>
                              <w:pStyle w:val="VLAclientexample"/>
                              <w:rPr>
                                <w:rFonts w:eastAsia="Arial"/>
                                <w:b/>
                              </w:rPr>
                            </w:pPr>
                            <w:r w:rsidRPr="3A75840F">
                              <w:rPr>
                                <w:rFonts w:eastAsia="Arial"/>
                              </w:rPr>
                              <w:t>Josh</w:t>
                            </w:r>
                            <w:r w:rsidRPr="7472B8E6">
                              <w:t>*</w:t>
                            </w:r>
                            <w:r w:rsidRPr="3A75840F">
                              <w:rPr>
                                <w:rFonts w:eastAsia="Arial"/>
                              </w:rPr>
                              <w:t xml:space="preserve"> was charged with attempted armed robbery.</w:t>
                            </w:r>
                            <w:r>
                              <w:rPr>
                                <w:rFonts w:eastAsia="Arial"/>
                              </w:rPr>
                              <w:t xml:space="preserve"> </w:t>
                            </w:r>
                            <w:r w:rsidRPr="3A75840F">
                              <w:rPr>
                                <w:rFonts w:eastAsia="Arial"/>
                              </w:rPr>
                              <w:t>CCTV footage and the complainant’s statement indicated</w:t>
                            </w:r>
                            <w:r>
                              <w:rPr>
                                <w:rFonts w:eastAsia="Arial"/>
                              </w:rPr>
                              <w:t>:</w:t>
                            </w:r>
                            <w:r w:rsidRPr="3A75840F">
                              <w:rPr>
                                <w:rFonts w:eastAsia="Arial"/>
                              </w:rPr>
                              <w:t xml:space="preserve"> Josh </w:t>
                            </w:r>
                            <w:r>
                              <w:rPr>
                                <w:rFonts w:eastAsia="Arial"/>
                              </w:rPr>
                              <w:t xml:space="preserve">had </w:t>
                            </w:r>
                            <w:r w:rsidRPr="3A75840F">
                              <w:rPr>
                                <w:rFonts w:eastAsia="Arial"/>
                              </w:rPr>
                              <w:t>approached the complainant at a supermarket while holding a pencil</w:t>
                            </w:r>
                            <w:r>
                              <w:rPr>
                                <w:rFonts w:eastAsia="Arial"/>
                              </w:rPr>
                              <w:t>,</w:t>
                            </w:r>
                            <w:r w:rsidRPr="3A75840F">
                              <w:rPr>
                                <w:rFonts w:eastAsia="Arial"/>
                              </w:rPr>
                              <w:t xml:space="preserve"> </w:t>
                            </w:r>
                            <w:r>
                              <w:rPr>
                                <w:rFonts w:eastAsia="Arial"/>
                              </w:rPr>
                              <w:t xml:space="preserve">he </w:t>
                            </w:r>
                            <w:r w:rsidRPr="3A75840F">
                              <w:rPr>
                                <w:rFonts w:eastAsia="Arial"/>
                              </w:rPr>
                              <w:t xml:space="preserve">asked for </w:t>
                            </w:r>
                            <w:r>
                              <w:rPr>
                                <w:rFonts w:eastAsia="Arial"/>
                              </w:rPr>
                              <w:t xml:space="preserve">a small amount of </w:t>
                            </w:r>
                            <w:r w:rsidRPr="3A75840F">
                              <w:rPr>
                                <w:rFonts w:eastAsia="Arial"/>
                              </w:rPr>
                              <w:t>money, the complainant refused Josh walked away.</w:t>
                            </w:r>
                          </w:p>
                          <w:p w14:paraId="2D1E869D" w14:textId="77777777" w:rsidR="00241E56" w:rsidRDefault="00241E56" w:rsidP="00C05F6E">
                            <w:pPr>
                              <w:pStyle w:val="VLAclientexample"/>
                              <w:rPr>
                                <w:rFonts w:eastAsia="Arial"/>
                              </w:rPr>
                            </w:pPr>
                            <w:r w:rsidRPr="3A75840F">
                              <w:rPr>
                                <w:rFonts w:eastAsia="Arial"/>
                              </w:rPr>
                              <w:t xml:space="preserve">VLA invited the </w:t>
                            </w:r>
                            <w:r>
                              <w:rPr>
                                <w:rFonts w:eastAsia="Arial"/>
                              </w:rPr>
                              <w:t>p</w:t>
                            </w:r>
                            <w:r w:rsidRPr="3A75840F">
                              <w:rPr>
                                <w:rFonts w:eastAsia="Arial"/>
                              </w:rPr>
                              <w:t xml:space="preserve">rosecution to discontinue the proceedings, </w:t>
                            </w:r>
                            <w:r>
                              <w:rPr>
                                <w:rFonts w:eastAsia="Arial"/>
                              </w:rPr>
                              <w:t xml:space="preserve">as the offence of attempted armed robbery requires demonstration of an attempted </w:t>
                            </w:r>
                            <w:r w:rsidRPr="3A75840F">
                              <w:rPr>
                                <w:rFonts w:eastAsia="Arial"/>
                              </w:rPr>
                              <w:t xml:space="preserve">theft, </w:t>
                            </w:r>
                            <w:r>
                              <w:rPr>
                                <w:rFonts w:eastAsia="Arial"/>
                              </w:rPr>
                              <w:t xml:space="preserve">the </w:t>
                            </w:r>
                            <w:r w:rsidRPr="3A75840F">
                              <w:rPr>
                                <w:rFonts w:eastAsia="Arial"/>
                              </w:rPr>
                              <w:t xml:space="preserve">use of force and </w:t>
                            </w:r>
                            <w:r>
                              <w:rPr>
                                <w:rFonts w:eastAsia="Arial"/>
                              </w:rPr>
                              <w:t>use of an object which could be perceived as a weapon</w:t>
                            </w:r>
                            <w:r w:rsidRPr="3A75840F">
                              <w:rPr>
                                <w:rFonts w:eastAsia="Arial"/>
                              </w:rPr>
                              <w:t>. The matter proceeded to committal hearing.</w:t>
                            </w:r>
                            <w:r>
                              <w:rPr>
                                <w:rFonts w:eastAsia="Arial"/>
                              </w:rPr>
                              <w:t xml:space="preserve"> </w:t>
                            </w:r>
                          </w:p>
                          <w:p w14:paraId="1F94A1A4" w14:textId="77777777" w:rsidR="00241E56" w:rsidRDefault="00241E56" w:rsidP="00171036">
                            <w:pPr>
                              <w:pStyle w:val="VLAclientexample"/>
                              <w:rPr>
                                <w:rFonts w:eastAsia="Arial"/>
                              </w:rPr>
                            </w:pPr>
                            <w:r w:rsidRPr="3A75840F">
                              <w:rPr>
                                <w:rFonts w:eastAsia="Arial"/>
                              </w:rPr>
                              <w:t xml:space="preserve">On the day of the committal hearing the </w:t>
                            </w:r>
                            <w:r>
                              <w:rPr>
                                <w:rFonts w:eastAsia="Arial"/>
                              </w:rPr>
                              <w:t>complainant</w:t>
                            </w:r>
                            <w:r w:rsidRPr="3A75840F">
                              <w:rPr>
                                <w:rFonts w:eastAsia="Arial"/>
                              </w:rPr>
                              <w:t xml:space="preserve"> failed to attend court</w:t>
                            </w:r>
                            <w:r>
                              <w:rPr>
                                <w:rFonts w:eastAsia="Arial"/>
                              </w:rPr>
                              <w:t xml:space="preserve"> and </w:t>
                            </w:r>
                            <w:r w:rsidRPr="3A75840F">
                              <w:rPr>
                                <w:rFonts w:eastAsia="Arial"/>
                              </w:rPr>
                              <w:t xml:space="preserve">the </w:t>
                            </w:r>
                            <w:r>
                              <w:rPr>
                                <w:rFonts w:eastAsia="Arial"/>
                              </w:rPr>
                              <w:t>p</w:t>
                            </w:r>
                            <w:r w:rsidRPr="3A75840F">
                              <w:rPr>
                                <w:rFonts w:eastAsia="Arial"/>
                              </w:rPr>
                              <w:t xml:space="preserve">rosecution </w:t>
                            </w:r>
                            <w:r>
                              <w:rPr>
                                <w:rFonts w:eastAsia="Arial"/>
                              </w:rPr>
                              <w:t xml:space="preserve">made an offer of </w:t>
                            </w:r>
                            <w:r w:rsidRPr="3A75840F">
                              <w:rPr>
                                <w:rFonts w:eastAsia="Arial"/>
                              </w:rPr>
                              <w:t xml:space="preserve">attempted robbery. </w:t>
                            </w:r>
                            <w:r>
                              <w:rPr>
                                <w:rFonts w:eastAsia="Arial"/>
                              </w:rPr>
                              <w:t xml:space="preserve">Josh </w:t>
                            </w:r>
                            <w:r w:rsidRPr="3A75840F">
                              <w:rPr>
                                <w:rFonts w:eastAsia="Arial"/>
                              </w:rPr>
                              <w:t>reject</w:t>
                            </w:r>
                            <w:r>
                              <w:rPr>
                                <w:rFonts w:eastAsia="Arial"/>
                              </w:rPr>
                              <w:t>ed</w:t>
                            </w:r>
                            <w:r w:rsidRPr="3A75840F">
                              <w:rPr>
                                <w:rFonts w:eastAsia="Arial"/>
                              </w:rPr>
                              <w:t xml:space="preserve"> this offer. At the listing of the second committal hearing</w:t>
                            </w:r>
                            <w:r>
                              <w:rPr>
                                <w:rFonts w:eastAsia="Arial"/>
                              </w:rPr>
                              <w:t>,</w:t>
                            </w:r>
                            <w:r w:rsidRPr="3A75840F">
                              <w:rPr>
                                <w:rFonts w:eastAsia="Arial"/>
                              </w:rPr>
                              <w:t xml:space="preserve"> the </w:t>
                            </w:r>
                            <w:r>
                              <w:rPr>
                                <w:rFonts w:eastAsia="Arial"/>
                              </w:rPr>
                              <w:t>complainant</w:t>
                            </w:r>
                            <w:r w:rsidRPr="3A75840F" w:rsidDel="001B4AAA">
                              <w:rPr>
                                <w:rFonts w:eastAsia="Arial"/>
                              </w:rPr>
                              <w:t xml:space="preserve"> </w:t>
                            </w:r>
                            <w:r w:rsidRPr="3A75840F">
                              <w:rPr>
                                <w:rFonts w:eastAsia="Arial"/>
                              </w:rPr>
                              <w:t xml:space="preserve">attended court. </w:t>
                            </w:r>
                            <w:r>
                              <w:rPr>
                                <w:rFonts w:eastAsia="Arial"/>
                              </w:rPr>
                              <w:t>Nevertheless, p</w:t>
                            </w:r>
                            <w:r w:rsidRPr="3A75840F">
                              <w:rPr>
                                <w:rFonts w:eastAsia="Arial"/>
                              </w:rPr>
                              <w:t xml:space="preserve">rior to the </w:t>
                            </w:r>
                            <w:r>
                              <w:rPr>
                                <w:rFonts w:eastAsia="Arial"/>
                              </w:rPr>
                              <w:t>complainant</w:t>
                            </w:r>
                            <w:r w:rsidRPr="3A75840F">
                              <w:rPr>
                                <w:rFonts w:eastAsia="Arial"/>
                              </w:rPr>
                              <w:t xml:space="preserve"> giving evidence the matter resolved </w:t>
                            </w:r>
                            <w:r>
                              <w:rPr>
                                <w:rFonts w:eastAsia="Arial"/>
                              </w:rPr>
                              <w:t xml:space="preserve">with </w:t>
                            </w:r>
                            <w:r w:rsidRPr="3A75840F">
                              <w:rPr>
                                <w:rFonts w:eastAsia="Arial"/>
                              </w:rPr>
                              <w:t xml:space="preserve">a plea to a charge of summary assault. Josh was placed on diversion. </w:t>
                            </w:r>
                          </w:p>
                          <w:p w14:paraId="4CA48364" w14:textId="60B1C9B9" w:rsidR="00241E56" w:rsidRDefault="00241E56" w:rsidP="00171036">
                            <w:pPr>
                              <w:pStyle w:val="VLAclientexample"/>
                            </w:pPr>
                            <w:r w:rsidRPr="23C767AD">
                              <w:rPr>
                                <w:rFonts w:eastAsia="Calibri"/>
                              </w:rPr>
                              <w:t>The well</w:t>
                            </w:r>
                            <w:r>
                              <w:rPr>
                                <w:rFonts w:eastAsia="Calibri"/>
                              </w:rPr>
                              <w:t>-</w:t>
                            </w:r>
                            <w:r w:rsidRPr="23C767AD">
                              <w:rPr>
                                <w:rFonts w:eastAsia="Calibri"/>
                              </w:rPr>
                              <w:t xml:space="preserve">run committal reality tested the indictable charge which was laid. Regrettably two committal hearings were required before a resolution was achieved. </w:t>
                            </w:r>
                          </w:p>
                          <w:p w14:paraId="38FA1559" w14:textId="77777777" w:rsidR="00241E56" w:rsidRPr="00AA0D7C" w:rsidRDefault="00241E56" w:rsidP="00171036"/>
                          <w:p w14:paraId="5E51837F" w14:textId="77777777" w:rsidR="00241E56" w:rsidRDefault="00241E56" w:rsidP="00171036">
                            <w:pPr>
                              <w:pStyle w:val="VLAclientexample"/>
                            </w:pPr>
                            <w:r w:rsidRPr="00523A8D">
                              <w:t>*VLA client, not his real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8460E" id="_x0000_t202" coordsize="21600,21600" o:spt="202" path="m,l,21600r21600,l21600,xe">
                <v:stroke joinstyle="miter"/>
                <v:path gradientshapeok="t" o:connecttype="rect"/>
              </v:shapetype>
              <v:shape id="Text Box 2" o:spid="_x0000_s1026" type="#_x0000_t202" style="position:absolute;margin-left:5.25pt;margin-top:97.15pt;width:446.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1I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">
                <v:textbox style="mso-fit-shape-to-text:t">
                  <w:txbxContent>
                    <w:p w14:paraId="618DB7F8" w14:textId="77777777" w:rsidR="00241E56" w:rsidRDefault="00241E56" w:rsidP="00C05F6E">
                      <w:pPr>
                        <w:pStyle w:val="VLAclientexampletitle"/>
                        <w:keepNext w:val="0"/>
                      </w:pPr>
                      <w:r w:rsidRPr="3A820004">
                        <w:t>Josh</w:t>
                      </w:r>
                      <w:r>
                        <w:t xml:space="preserve"> – Overcharging example </w:t>
                      </w:r>
                    </w:p>
                    <w:p w14:paraId="14D79291" w14:textId="77777777" w:rsidR="00241E56" w:rsidRPr="00F51420" w:rsidRDefault="00241E56" w:rsidP="00C05F6E">
                      <w:pPr>
                        <w:pStyle w:val="VLAclientexample"/>
                        <w:rPr>
                          <w:rFonts w:eastAsia="Arial"/>
                          <w:b/>
                        </w:rPr>
                      </w:pPr>
                      <w:r w:rsidRPr="3A75840F">
                        <w:rPr>
                          <w:rFonts w:eastAsia="Arial"/>
                        </w:rPr>
                        <w:t>Josh</w:t>
                      </w:r>
                      <w:r w:rsidRPr="7472B8E6">
                        <w:t>*</w:t>
                      </w:r>
                      <w:r w:rsidRPr="3A75840F">
                        <w:rPr>
                          <w:rFonts w:eastAsia="Arial"/>
                        </w:rPr>
                        <w:t xml:space="preserve"> was charged with attempted armed robbery.</w:t>
                      </w:r>
                      <w:r>
                        <w:rPr>
                          <w:rFonts w:eastAsia="Arial"/>
                        </w:rPr>
                        <w:t xml:space="preserve"> </w:t>
                      </w:r>
                      <w:r w:rsidRPr="3A75840F">
                        <w:rPr>
                          <w:rFonts w:eastAsia="Arial"/>
                        </w:rPr>
                        <w:t>CCTV footage and the complainant’s statement indicated</w:t>
                      </w:r>
                      <w:r>
                        <w:rPr>
                          <w:rFonts w:eastAsia="Arial"/>
                        </w:rPr>
                        <w:t>:</w:t>
                      </w:r>
                      <w:r w:rsidRPr="3A75840F">
                        <w:rPr>
                          <w:rFonts w:eastAsia="Arial"/>
                        </w:rPr>
                        <w:t xml:space="preserve"> Josh </w:t>
                      </w:r>
                      <w:r>
                        <w:rPr>
                          <w:rFonts w:eastAsia="Arial"/>
                        </w:rPr>
                        <w:t xml:space="preserve">had </w:t>
                      </w:r>
                      <w:r w:rsidRPr="3A75840F">
                        <w:rPr>
                          <w:rFonts w:eastAsia="Arial"/>
                        </w:rPr>
                        <w:t>approached the complainant at a supermarket while holding a pencil</w:t>
                      </w:r>
                      <w:r>
                        <w:rPr>
                          <w:rFonts w:eastAsia="Arial"/>
                        </w:rPr>
                        <w:t>,</w:t>
                      </w:r>
                      <w:r w:rsidRPr="3A75840F">
                        <w:rPr>
                          <w:rFonts w:eastAsia="Arial"/>
                        </w:rPr>
                        <w:t xml:space="preserve"> </w:t>
                      </w:r>
                      <w:r>
                        <w:rPr>
                          <w:rFonts w:eastAsia="Arial"/>
                        </w:rPr>
                        <w:t xml:space="preserve">he </w:t>
                      </w:r>
                      <w:r w:rsidRPr="3A75840F">
                        <w:rPr>
                          <w:rFonts w:eastAsia="Arial"/>
                        </w:rPr>
                        <w:t xml:space="preserve">asked for </w:t>
                      </w:r>
                      <w:r>
                        <w:rPr>
                          <w:rFonts w:eastAsia="Arial"/>
                        </w:rPr>
                        <w:t xml:space="preserve">a small amount of </w:t>
                      </w:r>
                      <w:r w:rsidRPr="3A75840F">
                        <w:rPr>
                          <w:rFonts w:eastAsia="Arial"/>
                        </w:rPr>
                        <w:t>money, the complainant refused Josh walked away.</w:t>
                      </w:r>
                    </w:p>
                    <w:p w14:paraId="2D1E869D" w14:textId="77777777" w:rsidR="00241E56" w:rsidRDefault="00241E56" w:rsidP="00C05F6E">
                      <w:pPr>
                        <w:pStyle w:val="VLAclientexample"/>
                        <w:rPr>
                          <w:rFonts w:eastAsia="Arial"/>
                        </w:rPr>
                      </w:pPr>
                      <w:r w:rsidRPr="3A75840F">
                        <w:rPr>
                          <w:rFonts w:eastAsia="Arial"/>
                        </w:rPr>
                        <w:t xml:space="preserve">VLA invited the </w:t>
                      </w:r>
                      <w:r>
                        <w:rPr>
                          <w:rFonts w:eastAsia="Arial"/>
                        </w:rPr>
                        <w:t>p</w:t>
                      </w:r>
                      <w:r w:rsidRPr="3A75840F">
                        <w:rPr>
                          <w:rFonts w:eastAsia="Arial"/>
                        </w:rPr>
                        <w:t xml:space="preserve">rosecution to discontinue the proceedings, </w:t>
                      </w:r>
                      <w:r>
                        <w:rPr>
                          <w:rFonts w:eastAsia="Arial"/>
                        </w:rPr>
                        <w:t xml:space="preserve">as the offence of attempted armed robbery requires demonstration of an attempted </w:t>
                      </w:r>
                      <w:r w:rsidRPr="3A75840F">
                        <w:rPr>
                          <w:rFonts w:eastAsia="Arial"/>
                        </w:rPr>
                        <w:t xml:space="preserve">theft, </w:t>
                      </w:r>
                      <w:r>
                        <w:rPr>
                          <w:rFonts w:eastAsia="Arial"/>
                        </w:rPr>
                        <w:t xml:space="preserve">the </w:t>
                      </w:r>
                      <w:r w:rsidRPr="3A75840F">
                        <w:rPr>
                          <w:rFonts w:eastAsia="Arial"/>
                        </w:rPr>
                        <w:t xml:space="preserve">use of force and </w:t>
                      </w:r>
                      <w:r>
                        <w:rPr>
                          <w:rFonts w:eastAsia="Arial"/>
                        </w:rPr>
                        <w:t>use of an object which could be perceived as a weapon</w:t>
                      </w:r>
                      <w:r w:rsidRPr="3A75840F">
                        <w:rPr>
                          <w:rFonts w:eastAsia="Arial"/>
                        </w:rPr>
                        <w:t>. The matter proceeded to committal hearing.</w:t>
                      </w:r>
                      <w:r>
                        <w:rPr>
                          <w:rFonts w:eastAsia="Arial"/>
                        </w:rPr>
                        <w:t xml:space="preserve"> </w:t>
                      </w:r>
                    </w:p>
                    <w:p w14:paraId="1F94A1A4" w14:textId="77777777" w:rsidR="00241E56" w:rsidRDefault="00241E56" w:rsidP="00171036">
                      <w:pPr>
                        <w:pStyle w:val="VLAclientexample"/>
                        <w:rPr>
                          <w:rFonts w:eastAsia="Arial"/>
                        </w:rPr>
                      </w:pPr>
                      <w:r w:rsidRPr="3A75840F">
                        <w:rPr>
                          <w:rFonts w:eastAsia="Arial"/>
                        </w:rPr>
                        <w:t xml:space="preserve">On the day of the committal hearing the </w:t>
                      </w:r>
                      <w:r>
                        <w:rPr>
                          <w:rFonts w:eastAsia="Arial"/>
                        </w:rPr>
                        <w:t>complainant</w:t>
                      </w:r>
                      <w:r w:rsidRPr="3A75840F">
                        <w:rPr>
                          <w:rFonts w:eastAsia="Arial"/>
                        </w:rPr>
                        <w:t xml:space="preserve"> failed to attend court</w:t>
                      </w:r>
                      <w:r>
                        <w:rPr>
                          <w:rFonts w:eastAsia="Arial"/>
                        </w:rPr>
                        <w:t xml:space="preserve"> and </w:t>
                      </w:r>
                      <w:r w:rsidRPr="3A75840F">
                        <w:rPr>
                          <w:rFonts w:eastAsia="Arial"/>
                        </w:rPr>
                        <w:t xml:space="preserve">the </w:t>
                      </w:r>
                      <w:r>
                        <w:rPr>
                          <w:rFonts w:eastAsia="Arial"/>
                        </w:rPr>
                        <w:t>p</w:t>
                      </w:r>
                      <w:r w:rsidRPr="3A75840F">
                        <w:rPr>
                          <w:rFonts w:eastAsia="Arial"/>
                        </w:rPr>
                        <w:t xml:space="preserve">rosecution </w:t>
                      </w:r>
                      <w:r>
                        <w:rPr>
                          <w:rFonts w:eastAsia="Arial"/>
                        </w:rPr>
                        <w:t xml:space="preserve">made an offer of </w:t>
                      </w:r>
                      <w:r w:rsidRPr="3A75840F">
                        <w:rPr>
                          <w:rFonts w:eastAsia="Arial"/>
                        </w:rPr>
                        <w:t xml:space="preserve">attempted robbery. </w:t>
                      </w:r>
                      <w:r>
                        <w:rPr>
                          <w:rFonts w:eastAsia="Arial"/>
                        </w:rPr>
                        <w:t xml:space="preserve">Josh </w:t>
                      </w:r>
                      <w:r w:rsidRPr="3A75840F">
                        <w:rPr>
                          <w:rFonts w:eastAsia="Arial"/>
                        </w:rPr>
                        <w:t>reject</w:t>
                      </w:r>
                      <w:r>
                        <w:rPr>
                          <w:rFonts w:eastAsia="Arial"/>
                        </w:rPr>
                        <w:t>ed</w:t>
                      </w:r>
                      <w:r w:rsidRPr="3A75840F">
                        <w:rPr>
                          <w:rFonts w:eastAsia="Arial"/>
                        </w:rPr>
                        <w:t xml:space="preserve"> this offer. At the listing of the second committal hearing</w:t>
                      </w:r>
                      <w:r>
                        <w:rPr>
                          <w:rFonts w:eastAsia="Arial"/>
                        </w:rPr>
                        <w:t>,</w:t>
                      </w:r>
                      <w:r w:rsidRPr="3A75840F">
                        <w:rPr>
                          <w:rFonts w:eastAsia="Arial"/>
                        </w:rPr>
                        <w:t xml:space="preserve"> the </w:t>
                      </w:r>
                      <w:r>
                        <w:rPr>
                          <w:rFonts w:eastAsia="Arial"/>
                        </w:rPr>
                        <w:t>complainant</w:t>
                      </w:r>
                      <w:r w:rsidRPr="3A75840F" w:rsidDel="001B4AAA">
                        <w:rPr>
                          <w:rFonts w:eastAsia="Arial"/>
                        </w:rPr>
                        <w:t xml:space="preserve"> </w:t>
                      </w:r>
                      <w:r w:rsidRPr="3A75840F">
                        <w:rPr>
                          <w:rFonts w:eastAsia="Arial"/>
                        </w:rPr>
                        <w:t xml:space="preserve">attended court. </w:t>
                      </w:r>
                      <w:r>
                        <w:rPr>
                          <w:rFonts w:eastAsia="Arial"/>
                        </w:rPr>
                        <w:t>Nevertheless, p</w:t>
                      </w:r>
                      <w:r w:rsidRPr="3A75840F">
                        <w:rPr>
                          <w:rFonts w:eastAsia="Arial"/>
                        </w:rPr>
                        <w:t xml:space="preserve">rior to the </w:t>
                      </w:r>
                      <w:r>
                        <w:rPr>
                          <w:rFonts w:eastAsia="Arial"/>
                        </w:rPr>
                        <w:t>complainant</w:t>
                      </w:r>
                      <w:r w:rsidRPr="3A75840F">
                        <w:rPr>
                          <w:rFonts w:eastAsia="Arial"/>
                        </w:rPr>
                        <w:t xml:space="preserve"> giving evidence the matter resolved </w:t>
                      </w:r>
                      <w:r>
                        <w:rPr>
                          <w:rFonts w:eastAsia="Arial"/>
                        </w:rPr>
                        <w:t xml:space="preserve">with </w:t>
                      </w:r>
                      <w:r w:rsidRPr="3A75840F">
                        <w:rPr>
                          <w:rFonts w:eastAsia="Arial"/>
                        </w:rPr>
                        <w:t xml:space="preserve">a plea to a charge of summary assault. Josh was placed on diversion. </w:t>
                      </w:r>
                    </w:p>
                    <w:p w14:paraId="4CA48364" w14:textId="60B1C9B9" w:rsidR="00241E56" w:rsidRDefault="00241E56" w:rsidP="00171036">
                      <w:pPr>
                        <w:pStyle w:val="VLAclientexample"/>
                      </w:pPr>
                      <w:r w:rsidRPr="23C767AD">
                        <w:rPr>
                          <w:rFonts w:eastAsia="Calibri"/>
                        </w:rPr>
                        <w:t>The well</w:t>
                      </w:r>
                      <w:r>
                        <w:rPr>
                          <w:rFonts w:eastAsia="Calibri"/>
                        </w:rPr>
                        <w:t>-</w:t>
                      </w:r>
                      <w:r w:rsidRPr="23C767AD">
                        <w:rPr>
                          <w:rFonts w:eastAsia="Calibri"/>
                        </w:rPr>
                        <w:t xml:space="preserve">run committal reality tested the indictable charge which was laid. Regrettably two committal hearings were required before a resolution was achieved. </w:t>
                      </w:r>
                    </w:p>
                    <w:p w14:paraId="38FA1559" w14:textId="77777777" w:rsidR="00241E56" w:rsidRPr="00AA0D7C" w:rsidRDefault="00241E56" w:rsidP="00171036"/>
                    <w:p w14:paraId="5E51837F" w14:textId="77777777" w:rsidR="00241E56" w:rsidRDefault="00241E56" w:rsidP="00171036">
                      <w:pPr>
                        <w:pStyle w:val="VLAclientexample"/>
                      </w:pPr>
                      <w:r w:rsidRPr="00523A8D">
                        <w:t>*VLA client, not his real name.</w:t>
                      </w:r>
                    </w:p>
                  </w:txbxContent>
                </v:textbox>
                <w10:wrap type="topAndBottom" anchorx="margin"/>
              </v:shape>
            </w:pict>
          </mc:Fallback>
        </mc:AlternateContent>
      </w:r>
      <w:r w:rsidR="00260BB6" w:rsidRPr="00B60E47">
        <w:t>The adverse outcomes attached to overcharging may be magnified for vulnerable people who have a cognitive impairment or mental illness</w:t>
      </w:r>
      <w:r w:rsidR="00260BB6">
        <w:t>,</w:t>
      </w:r>
      <w:r w:rsidR="00260BB6" w:rsidRPr="00B60E47">
        <w:t xml:space="preserve"> language barriers and other communication </w:t>
      </w:r>
      <w:r w:rsidR="00260BB6" w:rsidRPr="00B60E47">
        <w:lastRenderedPageBreak/>
        <w:t>barriers</w:t>
      </w:r>
      <w:r w:rsidR="00260BB6">
        <w:t>,</w:t>
      </w:r>
      <w:r w:rsidR="00260BB6" w:rsidRPr="00B60E47">
        <w:t xml:space="preserve"> </w:t>
      </w:r>
      <w:r w:rsidR="00260BB6">
        <w:t>are homeless,</w:t>
      </w:r>
      <w:r w:rsidR="00260BB6" w:rsidRPr="00B60E47">
        <w:t xml:space="preserve"> </w:t>
      </w:r>
      <w:r w:rsidR="00260BB6">
        <w:t xml:space="preserve">or </w:t>
      </w:r>
      <w:r w:rsidR="009F160D">
        <w:t xml:space="preserve">have </w:t>
      </w:r>
      <w:r w:rsidR="00260BB6" w:rsidRPr="00B60E47">
        <w:t>a criminal record</w:t>
      </w:r>
      <w:r w:rsidR="75E558F6" w:rsidRPr="00B60E47">
        <w:t>.</w:t>
      </w:r>
      <w:r w:rsidR="3B63765C" w:rsidRPr="00B60E47">
        <w:t xml:space="preserve"> </w:t>
      </w:r>
      <w:r w:rsidR="00D140E2">
        <w:t xml:space="preserve">A focus on improving the appropriateness of the initial charges would have ongoing efficiency benefits throughout the life of the matter and be fairer to the victim and the accused. </w:t>
      </w:r>
    </w:p>
    <w:p w14:paraId="28FD5A8F" w14:textId="06EB4808" w:rsidR="002E54B7" w:rsidRDefault="007D12CA" w:rsidP="007D12CA">
      <w:pPr>
        <w:pStyle w:val="Heading3"/>
      </w:pPr>
      <w:bookmarkStart w:id="30" w:name="_Toc17050663"/>
      <w:bookmarkStart w:id="31" w:name="_Toc17155078"/>
      <w:r>
        <w:t xml:space="preserve">2. </w:t>
      </w:r>
      <w:r w:rsidR="00D140E2">
        <w:t xml:space="preserve">Oversight of charges </w:t>
      </w:r>
      <w:r w:rsidR="002E54B7">
        <w:t>by the prosecution</w:t>
      </w:r>
      <w:bookmarkEnd w:id="30"/>
      <w:bookmarkEnd w:id="31"/>
    </w:p>
    <w:p w14:paraId="4B5DA553" w14:textId="1A0E93AF" w:rsidR="5C152057" w:rsidRDefault="002E54B7" w:rsidP="002E54B7">
      <w:pPr>
        <w:pStyle w:val="VLADocumentText"/>
      </w:pPr>
      <w:r>
        <w:t xml:space="preserve">The </w:t>
      </w:r>
      <w:r w:rsidR="00F8237D">
        <w:t xml:space="preserve">relevant </w:t>
      </w:r>
      <w:r>
        <w:t xml:space="preserve">prosecuting </w:t>
      </w:r>
      <w:r w:rsidR="00F8237D">
        <w:t xml:space="preserve">agency </w:t>
      </w:r>
      <w:r>
        <w:t xml:space="preserve">should have greater involvement </w:t>
      </w:r>
      <w:r w:rsidR="00F8237D">
        <w:t xml:space="preserve">with the investigating agency </w:t>
      </w:r>
      <w:r>
        <w:t>at an earlier stage</w:t>
      </w:r>
      <w:r w:rsidR="00A37B32">
        <w:t>.</w:t>
      </w:r>
      <w:r w:rsidR="00073140">
        <w:t xml:space="preserve"> </w:t>
      </w:r>
      <w:r w:rsidR="00A37B32">
        <w:t xml:space="preserve">We discuss this further </w:t>
      </w:r>
      <w:r w:rsidR="00456492">
        <w:t xml:space="preserve">in response to </w:t>
      </w:r>
      <w:r w:rsidR="0085392E" w:rsidRPr="0085392E">
        <w:rPr>
          <w:b/>
        </w:rPr>
        <w:t>Q</w:t>
      </w:r>
      <w:r w:rsidRPr="0085392E">
        <w:rPr>
          <w:b/>
        </w:rPr>
        <w:t>uestion 3</w:t>
      </w:r>
      <w:r>
        <w:t>.</w:t>
      </w:r>
    </w:p>
    <w:p w14:paraId="0CC6A07B" w14:textId="2256C8EE" w:rsidR="00147FF0" w:rsidRDefault="007D12CA" w:rsidP="007D12CA">
      <w:pPr>
        <w:pStyle w:val="Heading3"/>
      </w:pPr>
      <w:bookmarkStart w:id="32" w:name="_Toc17050664"/>
      <w:bookmarkStart w:id="33" w:name="_Toc17155079"/>
      <w:r>
        <w:t xml:space="preserve">3. </w:t>
      </w:r>
      <w:r w:rsidR="00147FF0">
        <w:t>Improved disclosure and early engagement with the evidence by all parties</w:t>
      </w:r>
      <w:bookmarkEnd w:id="32"/>
      <w:bookmarkEnd w:id="33"/>
      <w:r w:rsidR="00147FF0">
        <w:t xml:space="preserve"> </w:t>
      </w:r>
    </w:p>
    <w:p w14:paraId="12925B6B" w14:textId="58CFFD81" w:rsidR="00147FF0" w:rsidRDefault="00147FF0" w:rsidP="002E54B7">
      <w:pPr>
        <w:pStyle w:val="VLADocumentText"/>
        <w:rPr>
          <w:lang w:eastAsia="en-AU"/>
        </w:rPr>
      </w:pPr>
      <w:r>
        <w:rPr>
          <w:lang w:eastAsia="en-AU"/>
        </w:rPr>
        <w:t xml:space="preserve">In our experience, the most effective way ensure that charges are amended at </w:t>
      </w:r>
      <w:r w:rsidRPr="00E44D59">
        <w:t>the earliest possible stage in a case</w:t>
      </w:r>
      <w:r>
        <w:t xml:space="preserve"> is to ensure that the available evidence has been properly disclosed, and the parties have been properly funded and incentivised to consider the evidence at the earliest stages in proceedings.</w:t>
      </w:r>
      <w:r>
        <w:rPr>
          <w:lang w:eastAsia="en-AU"/>
        </w:rPr>
        <w:t xml:space="preserve"> Suggestions to improve </w:t>
      </w:r>
      <w:r w:rsidRPr="004675C4">
        <w:rPr>
          <w:lang w:eastAsia="en-AU"/>
        </w:rPr>
        <w:t>disclosure</w:t>
      </w:r>
      <w:r>
        <w:rPr>
          <w:lang w:eastAsia="en-AU"/>
        </w:rPr>
        <w:t xml:space="preserve"> and</w:t>
      </w:r>
      <w:r w:rsidRPr="004675C4">
        <w:rPr>
          <w:lang w:eastAsia="en-AU"/>
        </w:rPr>
        <w:t xml:space="preserve"> timely analysis of the </w:t>
      </w:r>
      <w:r>
        <w:rPr>
          <w:lang w:eastAsia="en-AU"/>
        </w:rPr>
        <w:t xml:space="preserve">evidence by all parties are discussed below </w:t>
      </w:r>
      <w:r w:rsidR="00A37B32">
        <w:rPr>
          <w:lang w:eastAsia="en-AU"/>
        </w:rPr>
        <w:t xml:space="preserve">in response to </w:t>
      </w:r>
      <w:r w:rsidR="0085392E" w:rsidRPr="0085392E">
        <w:rPr>
          <w:b/>
          <w:lang w:eastAsia="en-AU"/>
        </w:rPr>
        <w:t>Q</w:t>
      </w:r>
      <w:r w:rsidRPr="0085392E">
        <w:rPr>
          <w:b/>
          <w:lang w:eastAsia="en-AU"/>
        </w:rPr>
        <w:t>uestions 4 and 5</w:t>
      </w:r>
      <w:r>
        <w:rPr>
          <w:lang w:eastAsia="en-AU"/>
        </w:rPr>
        <w:t>.</w:t>
      </w:r>
    </w:p>
    <w:p w14:paraId="42DA0789" w14:textId="718E6E27" w:rsidR="00260BB6" w:rsidRPr="00E44D59" w:rsidRDefault="00260BB6" w:rsidP="00E2095E">
      <w:pPr>
        <w:pStyle w:val="Heading1"/>
      </w:pPr>
      <w:bookmarkStart w:id="34" w:name="_Toc17050665"/>
      <w:bookmarkStart w:id="35" w:name="_Toc17155080"/>
      <w:r w:rsidRPr="00E44D59">
        <w:t>Question 3. Should the OPP be involved in determining appropriate indictable charges at an earlier stage? If so how?</w:t>
      </w:r>
      <w:bookmarkEnd w:id="34"/>
      <w:bookmarkEnd w:id="35"/>
    </w:p>
    <w:p w14:paraId="05DD40B6" w14:textId="4AA14FDF" w:rsidR="00B735B5" w:rsidRDefault="00D27239" w:rsidP="00B735B5">
      <w:pPr>
        <w:pStyle w:val="VLADocumentText"/>
      </w:pPr>
      <w:r>
        <w:t xml:space="preserve">VLA supports active and earlier engagement by the </w:t>
      </w:r>
      <w:r w:rsidR="00B735B5" w:rsidRPr="00E56216">
        <w:t>prosecut</w:t>
      </w:r>
      <w:r w:rsidR="00B735B5">
        <w:t>ing agency with the investigating agency</w:t>
      </w:r>
      <w:r>
        <w:t>.</w:t>
      </w:r>
      <w:r w:rsidR="00057FED">
        <w:t xml:space="preserve"> </w:t>
      </w:r>
      <w:r>
        <w:t xml:space="preserve">This should </w:t>
      </w:r>
      <w:r w:rsidR="00B735B5">
        <w:t>includ</w:t>
      </w:r>
      <w:r>
        <w:t>e</w:t>
      </w:r>
      <w:r w:rsidR="00B735B5">
        <w:t xml:space="preserve">: </w:t>
      </w:r>
    </w:p>
    <w:p w14:paraId="140848CE" w14:textId="47B9CC0A" w:rsidR="00B735B5" w:rsidRDefault="00B735B5" w:rsidP="00FB5EE4">
      <w:pPr>
        <w:pStyle w:val="VLADocumentText"/>
        <w:numPr>
          <w:ilvl w:val="0"/>
          <w:numId w:val="48"/>
        </w:numPr>
        <w:spacing w:before="60"/>
        <w:ind w:left="714" w:hanging="357"/>
      </w:pPr>
      <w:r>
        <w:t xml:space="preserve">supervising the laying of the charges as the investigation proceeds </w:t>
      </w:r>
      <w:r w:rsidRPr="004675C4">
        <w:rPr>
          <w:lang w:eastAsia="en-AU"/>
        </w:rPr>
        <w:t>guid</w:t>
      </w:r>
      <w:r>
        <w:rPr>
          <w:lang w:eastAsia="en-AU"/>
        </w:rPr>
        <w:t>ing</w:t>
      </w:r>
      <w:r w:rsidRPr="004675C4">
        <w:rPr>
          <w:lang w:eastAsia="en-AU"/>
        </w:rPr>
        <w:t xml:space="preserve"> the preparation of a </w:t>
      </w:r>
      <w:r>
        <w:rPr>
          <w:lang w:eastAsia="en-AU"/>
        </w:rPr>
        <w:t>complete</w:t>
      </w:r>
      <w:r w:rsidRPr="004675C4">
        <w:rPr>
          <w:lang w:eastAsia="en-AU"/>
        </w:rPr>
        <w:t xml:space="preserve"> hand-up brief</w:t>
      </w:r>
      <w:r w:rsidR="00057FED">
        <w:rPr>
          <w:lang w:eastAsia="en-AU"/>
        </w:rPr>
        <w:t>;</w:t>
      </w:r>
      <w:r>
        <w:rPr>
          <w:lang w:eastAsia="en-AU"/>
        </w:rPr>
        <w:t xml:space="preserve"> </w:t>
      </w:r>
    </w:p>
    <w:p w14:paraId="1CDDD3A4" w14:textId="0D8C781D" w:rsidR="00B735B5" w:rsidRDefault="00B735B5" w:rsidP="00FB5EE4">
      <w:pPr>
        <w:pStyle w:val="VLADocumentText"/>
        <w:numPr>
          <w:ilvl w:val="0"/>
          <w:numId w:val="48"/>
        </w:numPr>
        <w:spacing w:before="60"/>
        <w:ind w:left="714" w:hanging="357"/>
      </w:pPr>
      <w:r w:rsidRPr="00E56216">
        <w:t>certify</w:t>
      </w:r>
      <w:r>
        <w:t>ing</w:t>
      </w:r>
      <w:r w:rsidRPr="00E56216">
        <w:t xml:space="preserve"> </w:t>
      </w:r>
      <w:r>
        <w:t>that the charges have been reviewed and are appropriate</w:t>
      </w:r>
      <w:r w:rsidR="005A4556">
        <w:t xml:space="preserve">; </w:t>
      </w:r>
    </w:p>
    <w:p w14:paraId="2BF1D6BA" w14:textId="60E8B877" w:rsidR="00013CEF" w:rsidRDefault="00B735B5" w:rsidP="00FB5EE4">
      <w:pPr>
        <w:pStyle w:val="VLADocumentText"/>
        <w:numPr>
          <w:ilvl w:val="0"/>
          <w:numId w:val="48"/>
        </w:numPr>
        <w:spacing w:before="60"/>
        <w:ind w:left="714" w:hanging="357"/>
      </w:pPr>
      <w:r>
        <w:t>liaising with police in their communication with the complainant at the pre-charge and the brief compilation stages of the investigation</w:t>
      </w:r>
      <w:r w:rsidR="005A4556">
        <w:t xml:space="preserve">; and </w:t>
      </w:r>
    </w:p>
    <w:p w14:paraId="050CF507" w14:textId="15A4D1FD" w:rsidR="00B735B5" w:rsidRDefault="00013CEF" w:rsidP="00FB5EE4">
      <w:pPr>
        <w:pStyle w:val="VLADocumentText"/>
        <w:numPr>
          <w:ilvl w:val="0"/>
          <w:numId w:val="48"/>
        </w:numPr>
        <w:spacing w:before="60"/>
        <w:ind w:left="714" w:hanging="357"/>
      </w:pPr>
      <w:r>
        <w:t>engaging early with the evidence</w:t>
      </w:r>
      <w:r w:rsidR="00B735B5" w:rsidRPr="00E56216">
        <w:t>.</w:t>
      </w:r>
      <w:r w:rsidR="00B735B5">
        <w:t xml:space="preserve"> </w:t>
      </w:r>
    </w:p>
    <w:p w14:paraId="01E9E235" w14:textId="41CD04F1" w:rsidR="007D36F9" w:rsidRDefault="0030073C" w:rsidP="007D36F9">
      <w:pPr>
        <w:pStyle w:val="VLADocumentText"/>
      </w:pPr>
      <w:r>
        <w:t xml:space="preserve">To support this practice, it is essential that agencies have </w:t>
      </w:r>
      <w:r w:rsidR="004E6937">
        <w:t xml:space="preserve">the necessary </w:t>
      </w:r>
      <w:r>
        <w:t>resources</w:t>
      </w:r>
      <w:r w:rsidR="00CC231B">
        <w:t xml:space="preserve">. </w:t>
      </w:r>
      <w:r w:rsidR="004E6937">
        <w:t>In our view</w:t>
      </w:r>
      <w:r w:rsidR="00E7358B">
        <w:t>:</w:t>
      </w:r>
      <w:r w:rsidR="007D36F9">
        <w:t xml:space="preserve"> </w:t>
      </w:r>
    </w:p>
    <w:p w14:paraId="0497AC00" w14:textId="77777777" w:rsidR="007D36F9" w:rsidRDefault="007D36F9" w:rsidP="007D36F9">
      <w:pPr>
        <w:pStyle w:val="VLADocumentText"/>
        <w:numPr>
          <w:ilvl w:val="0"/>
          <w:numId w:val="16"/>
        </w:numPr>
        <w:spacing w:before="60"/>
        <w:ind w:left="714" w:hanging="357"/>
      </w:pPr>
      <w:r>
        <w:t>resources should be allocated to assist investigators in laying appropriate charges, which are supported by admissible evidence; and</w:t>
      </w:r>
    </w:p>
    <w:p w14:paraId="49AE3DF0" w14:textId="2C0C291D" w:rsidR="007D36F9" w:rsidRPr="00E56216" w:rsidRDefault="007D36F9" w:rsidP="007D36F9">
      <w:pPr>
        <w:pStyle w:val="VLADocumentText"/>
        <w:numPr>
          <w:ilvl w:val="0"/>
          <w:numId w:val="16"/>
        </w:numPr>
        <w:spacing w:before="60"/>
        <w:ind w:left="714" w:hanging="357"/>
      </w:pPr>
      <w:r>
        <w:t xml:space="preserve">the </w:t>
      </w:r>
      <w:r w:rsidR="00AE172E">
        <w:t>Office of Public Prosecutions (</w:t>
      </w:r>
      <w:r>
        <w:t>OPP</w:t>
      </w:r>
      <w:r w:rsidR="00AE172E">
        <w:t>)</w:t>
      </w:r>
      <w:r>
        <w:t xml:space="preserve"> should be properly funded for sufficiently senior prosecutors to be available to undertake this work. </w:t>
      </w:r>
    </w:p>
    <w:p w14:paraId="09D3A90F" w14:textId="4F014C3B" w:rsidR="00653C64" w:rsidRDefault="00013CEF" w:rsidP="00653C64">
      <w:pPr>
        <w:pStyle w:val="Heading3"/>
      </w:pPr>
      <w:bookmarkStart w:id="36" w:name="_Toc17050666"/>
      <w:bookmarkStart w:id="37" w:name="_Toc17155081"/>
      <w:r>
        <w:t xml:space="preserve">1. </w:t>
      </w:r>
      <w:r w:rsidR="00653C64">
        <w:t>Oversight of charges and the preparation of the hand-up brief</w:t>
      </w:r>
      <w:bookmarkEnd w:id="36"/>
      <w:bookmarkEnd w:id="37"/>
    </w:p>
    <w:p w14:paraId="12A3FE78" w14:textId="4EA519F5" w:rsidR="004020E7" w:rsidRDefault="001A6B59" w:rsidP="001A6B59">
      <w:pPr>
        <w:pStyle w:val="VLADocumentText"/>
      </w:pPr>
      <w:r>
        <w:t>The filing hearing is the first step at the Magistrates’ Court. At a filing hearing the magistrate will set out a timeline for when the brief of evidence</w:t>
      </w:r>
      <w:r w:rsidR="003B0100">
        <w:t>,</w:t>
      </w:r>
      <w:r>
        <w:t xml:space="preserve"> called the hand-up brief</w:t>
      </w:r>
      <w:r w:rsidR="00104CA3">
        <w:t>,</w:t>
      </w:r>
      <w:r w:rsidR="00BD095B">
        <w:t xml:space="preserve"> must be provided. This is legislatively mandated to occur within 6 weeks, though more time can be sought with leave. </w:t>
      </w:r>
      <w:r w:rsidR="00817555">
        <w:t>T</w:t>
      </w:r>
      <w:r w:rsidR="00BD095B">
        <w:t>he</w:t>
      </w:r>
      <w:r w:rsidR="004020E7" w:rsidRPr="00E56216">
        <w:t xml:space="preserve"> hand-up brief </w:t>
      </w:r>
      <w:r w:rsidR="004020E7">
        <w:t xml:space="preserve">includes the charges laid and the evidence relied upon by the investigating agency. </w:t>
      </w:r>
    </w:p>
    <w:p w14:paraId="1D28A8A9" w14:textId="52D6C104" w:rsidR="004020E7" w:rsidRPr="00D5502B" w:rsidRDefault="0003674F" w:rsidP="004020E7">
      <w:pPr>
        <w:pStyle w:val="VLADocumentText"/>
        <w:rPr>
          <w:lang w:eastAsia="en-AU"/>
        </w:rPr>
      </w:pPr>
      <w:r>
        <w:rPr>
          <w:lang w:eastAsia="en-AU"/>
        </w:rPr>
        <w:t xml:space="preserve">In our view, there </w:t>
      </w:r>
      <w:r w:rsidR="00B30CF5">
        <w:rPr>
          <w:lang w:eastAsia="en-AU"/>
        </w:rPr>
        <w:t>would be substantial</w:t>
      </w:r>
      <w:r>
        <w:rPr>
          <w:lang w:eastAsia="en-AU"/>
        </w:rPr>
        <w:t xml:space="preserve"> value in having earlier support from </w:t>
      </w:r>
      <w:r w:rsidR="004020E7">
        <w:rPr>
          <w:lang w:eastAsia="en-AU"/>
        </w:rPr>
        <w:t>the prosecuting agency’s lawyers</w:t>
      </w:r>
      <w:r w:rsidR="00B30CF5">
        <w:rPr>
          <w:lang w:eastAsia="en-AU"/>
        </w:rPr>
        <w:t>,</w:t>
      </w:r>
      <w:r w:rsidR="004020E7">
        <w:rPr>
          <w:lang w:eastAsia="en-AU"/>
        </w:rPr>
        <w:t xml:space="preserve"> </w:t>
      </w:r>
      <w:r>
        <w:rPr>
          <w:lang w:eastAsia="en-AU"/>
        </w:rPr>
        <w:t xml:space="preserve">who usually have more trial experience than police investigators. This </w:t>
      </w:r>
      <w:r w:rsidR="00B30CF5">
        <w:rPr>
          <w:lang w:eastAsia="en-AU"/>
        </w:rPr>
        <w:t xml:space="preserve">would </w:t>
      </w:r>
      <w:r>
        <w:rPr>
          <w:lang w:eastAsia="en-AU"/>
        </w:rPr>
        <w:t xml:space="preserve">assist </w:t>
      </w:r>
      <w:r w:rsidR="00E60B7A">
        <w:rPr>
          <w:lang w:eastAsia="en-AU"/>
        </w:rPr>
        <w:t>police investigators</w:t>
      </w:r>
      <w:r w:rsidR="00CF2ECD">
        <w:rPr>
          <w:lang w:eastAsia="en-AU"/>
        </w:rPr>
        <w:t xml:space="preserve"> </w:t>
      </w:r>
      <w:r w:rsidR="004020E7">
        <w:rPr>
          <w:lang w:eastAsia="en-AU"/>
        </w:rPr>
        <w:t>to</w:t>
      </w:r>
      <w:r w:rsidR="00E7358B">
        <w:rPr>
          <w:lang w:eastAsia="en-AU"/>
        </w:rPr>
        <w:t xml:space="preserve"> </w:t>
      </w:r>
      <w:r w:rsidR="004020E7" w:rsidRPr="004675C4">
        <w:rPr>
          <w:lang w:eastAsia="en-AU"/>
        </w:rPr>
        <w:t>advanc</w:t>
      </w:r>
      <w:r w:rsidR="004020E7">
        <w:rPr>
          <w:lang w:eastAsia="en-AU"/>
        </w:rPr>
        <w:t>e</w:t>
      </w:r>
      <w:r w:rsidR="004020E7" w:rsidRPr="004675C4">
        <w:rPr>
          <w:lang w:eastAsia="en-AU"/>
        </w:rPr>
        <w:t xml:space="preserve"> the preparation of a </w:t>
      </w:r>
      <w:r w:rsidR="004020E7">
        <w:rPr>
          <w:lang w:eastAsia="en-AU"/>
        </w:rPr>
        <w:t>complete</w:t>
      </w:r>
      <w:r w:rsidR="004020E7" w:rsidRPr="004675C4">
        <w:rPr>
          <w:lang w:eastAsia="en-AU"/>
        </w:rPr>
        <w:t xml:space="preserve"> hand-up brief</w:t>
      </w:r>
      <w:r w:rsidR="006D7270">
        <w:rPr>
          <w:lang w:eastAsia="en-AU"/>
        </w:rPr>
        <w:t xml:space="preserve"> </w:t>
      </w:r>
      <w:r w:rsidR="00E60B7A">
        <w:rPr>
          <w:lang w:eastAsia="en-AU"/>
        </w:rPr>
        <w:t>in accordance with</w:t>
      </w:r>
      <w:r w:rsidR="006D7270">
        <w:rPr>
          <w:lang w:eastAsia="en-AU"/>
        </w:rPr>
        <w:t xml:space="preserve"> the </w:t>
      </w:r>
      <w:r w:rsidR="00E60B7A">
        <w:rPr>
          <w:lang w:eastAsia="en-AU"/>
        </w:rPr>
        <w:t>rules</w:t>
      </w:r>
      <w:r w:rsidR="006D7270">
        <w:rPr>
          <w:lang w:eastAsia="en-AU"/>
        </w:rPr>
        <w:t xml:space="preserve"> of evidence and admissibility</w:t>
      </w:r>
      <w:r w:rsidR="004020E7">
        <w:rPr>
          <w:lang w:eastAsia="en-AU"/>
        </w:rPr>
        <w:t xml:space="preserve">, to ensure that appropriate </w:t>
      </w:r>
      <w:r w:rsidR="004020E7" w:rsidRPr="00B60E47">
        <w:t>evidence</w:t>
      </w:r>
      <w:r w:rsidR="004020E7">
        <w:rPr>
          <w:lang w:eastAsia="en-AU"/>
        </w:rPr>
        <w:t xml:space="preserve"> is obtained and included,</w:t>
      </w:r>
      <w:r w:rsidR="004020E7" w:rsidRPr="004675C4">
        <w:rPr>
          <w:lang w:eastAsia="en-AU"/>
        </w:rPr>
        <w:t xml:space="preserve"> and </w:t>
      </w:r>
      <w:r w:rsidR="00807CE7">
        <w:rPr>
          <w:lang w:eastAsia="en-AU"/>
        </w:rPr>
        <w:t xml:space="preserve">ensure </w:t>
      </w:r>
      <w:r w:rsidR="004020E7">
        <w:rPr>
          <w:lang w:eastAsia="en-AU"/>
        </w:rPr>
        <w:t xml:space="preserve">that </w:t>
      </w:r>
      <w:r w:rsidR="00807CE7">
        <w:rPr>
          <w:lang w:eastAsia="en-AU"/>
        </w:rPr>
        <w:t xml:space="preserve">the </w:t>
      </w:r>
      <w:r w:rsidR="006D7270">
        <w:rPr>
          <w:lang w:eastAsia="en-AU"/>
        </w:rPr>
        <w:t xml:space="preserve">process is completed </w:t>
      </w:r>
      <w:r w:rsidR="004020E7">
        <w:rPr>
          <w:lang w:eastAsia="en-AU"/>
        </w:rPr>
        <w:t xml:space="preserve">in a </w:t>
      </w:r>
      <w:r w:rsidR="004020E7" w:rsidRPr="004675C4">
        <w:rPr>
          <w:lang w:eastAsia="en-AU"/>
        </w:rPr>
        <w:t xml:space="preserve">timely </w:t>
      </w:r>
      <w:r w:rsidR="004020E7">
        <w:rPr>
          <w:lang w:eastAsia="en-AU"/>
        </w:rPr>
        <w:t xml:space="preserve">manner. </w:t>
      </w:r>
    </w:p>
    <w:p w14:paraId="6A633033" w14:textId="2BB26A8B" w:rsidR="004020E7" w:rsidRDefault="004020E7" w:rsidP="004020E7">
      <w:pPr>
        <w:pStyle w:val="VLADocumentText"/>
      </w:pPr>
      <w:r>
        <w:lastRenderedPageBreak/>
        <w:t>T</w:t>
      </w:r>
      <w:r w:rsidRPr="00E56216">
        <w:t>o make the prosecution case as clear as possible</w:t>
      </w:r>
      <w:r>
        <w:t>, and ensure the charges filed are appropriate, t</w:t>
      </w:r>
      <w:r w:rsidRPr="00E56216">
        <w:t>he prosecution</w:t>
      </w:r>
      <w:r>
        <w:t>’s</w:t>
      </w:r>
      <w:r w:rsidRPr="00E56216">
        <w:t xml:space="preserve"> </w:t>
      </w:r>
      <w:r>
        <w:t xml:space="preserve">consideration of the </w:t>
      </w:r>
      <w:r w:rsidRPr="00E56216">
        <w:t xml:space="preserve">case </w:t>
      </w:r>
      <w:r>
        <w:t>should include</w:t>
      </w:r>
      <w:r w:rsidRPr="00E56216">
        <w:t>:</w:t>
      </w:r>
      <w:r w:rsidRPr="000C0877">
        <w:t xml:space="preserve"> </w:t>
      </w:r>
    </w:p>
    <w:p w14:paraId="7A3D1567" w14:textId="77777777" w:rsidR="004020E7" w:rsidRDefault="004020E7" w:rsidP="004020E7">
      <w:pPr>
        <w:pStyle w:val="VLADocumentText"/>
        <w:numPr>
          <w:ilvl w:val="0"/>
          <w:numId w:val="15"/>
        </w:numPr>
      </w:pPr>
      <w:r w:rsidRPr="00E56216">
        <w:t>whether</w:t>
      </w:r>
      <w:r>
        <w:t xml:space="preserve"> all charges will be proceeded with, or are thought to be justified, or some </w:t>
      </w:r>
      <w:r w:rsidRPr="00E56216">
        <w:t xml:space="preserve">charges </w:t>
      </w:r>
      <w:r>
        <w:t>should be withdrawn</w:t>
      </w:r>
      <w:r w:rsidRPr="00E56216">
        <w:t xml:space="preserve"> or added</w:t>
      </w:r>
      <w:r>
        <w:t xml:space="preserve">; </w:t>
      </w:r>
    </w:p>
    <w:p w14:paraId="146AFA72" w14:textId="7F250F32" w:rsidR="004020E7" w:rsidRDefault="004020E7" w:rsidP="004020E7">
      <w:pPr>
        <w:pStyle w:val="VLADocumentText"/>
        <w:numPr>
          <w:ilvl w:val="0"/>
          <w:numId w:val="15"/>
        </w:numPr>
      </w:pPr>
      <w:r>
        <w:t>consideration of a</w:t>
      </w:r>
      <w:r w:rsidRPr="00E56216">
        <w:t xml:space="preserve">ll statements </w:t>
      </w:r>
      <w:r>
        <w:t xml:space="preserve">for admissibility and capacity to support the charges, including whether </w:t>
      </w:r>
      <w:r w:rsidRPr="00E56216">
        <w:t xml:space="preserve">inadmissible </w:t>
      </w:r>
      <w:r>
        <w:t xml:space="preserve">statements should be </w:t>
      </w:r>
      <w:r w:rsidRPr="00E56216">
        <w:t>removed from the brief prior to it being served on the defence</w:t>
      </w:r>
      <w:r>
        <w:t xml:space="preserve">, or whether </w:t>
      </w:r>
      <w:r w:rsidRPr="00E56216">
        <w:t xml:space="preserve">additional </w:t>
      </w:r>
      <w:r>
        <w:t xml:space="preserve">statements and </w:t>
      </w:r>
      <w:r w:rsidRPr="00E56216">
        <w:t xml:space="preserve">evidence </w:t>
      </w:r>
      <w:r>
        <w:t xml:space="preserve">should </w:t>
      </w:r>
      <w:r w:rsidRPr="00E56216">
        <w:t xml:space="preserve">be obtained. </w:t>
      </w:r>
    </w:p>
    <w:p w14:paraId="7A00E49C" w14:textId="521C4136" w:rsidR="004020E7" w:rsidRDefault="00DE0166" w:rsidP="004020E7">
      <w:pPr>
        <w:pStyle w:val="VLADocumentText"/>
        <w:rPr>
          <w:lang w:eastAsia="en-AU"/>
        </w:rPr>
      </w:pPr>
      <w:r>
        <w:rPr>
          <w:lang w:eastAsia="en-AU"/>
        </w:rPr>
        <w:t>VLA does</w:t>
      </w:r>
      <w:r w:rsidR="004020E7">
        <w:rPr>
          <w:lang w:eastAsia="en-AU"/>
        </w:rPr>
        <w:t xml:space="preserve"> not recommend that the prosecution </w:t>
      </w:r>
      <w:r w:rsidR="0049610C">
        <w:rPr>
          <w:lang w:eastAsia="en-AU"/>
        </w:rPr>
        <w:t xml:space="preserve">provide </w:t>
      </w:r>
      <w:r w:rsidR="004020E7" w:rsidRPr="004020E7">
        <w:rPr>
          <w:lang w:eastAsia="en-AU"/>
        </w:rPr>
        <w:t xml:space="preserve">investigative advice, </w:t>
      </w:r>
      <w:r w:rsidR="004020E7">
        <w:rPr>
          <w:lang w:eastAsia="en-AU"/>
        </w:rPr>
        <w:t>rather</w:t>
      </w:r>
      <w:r w:rsidR="000A53F7">
        <w:rPr>
          <w:lang w:eastAsia="en-AU"/>
        </w:rPr>
        <w:t>,</w:t>
      </w:r>
      <w:r w:rsidR="004020E7">
        <w:rPr>
          <w:lang w:eastAsia="en-AU"/>
        </w:rPr>
        <w:t xml:space="preserve"> </w:t>
      </w:r>
      <w:r w:rsidR="004020E7" w:rsidRPr="004020E7">
        <w:rPr>
          <w:lang w:eastAsia="en-AU"/>
        </w:rPr>
        <w:t xml:space="preserve">pre-charge advice </w:t>
      </w:r>
      <w:r w:rsidR="004020E7">
        <w:rPr>
          <w:lang w:eastAsia="en-AU"/>
        </w:rPr>
        <w:t xml:space="preserve">about what </w:t>
      </w:r>
      <w:r w:rsidR="004020E7" w:rsidRPr="004020E7">
        <w:rPr>
          <w:lang w:eastAsia="en-AU"/>
        </w:rPr>
        <w:t>evidence would be required</w:t>
      </w:r>
      <w:r w:rsidR="004020E7">
        <w:rPr>
          <w:lang w:eastAsia="en-AU"/>
        </w:rPr>
        <w:t xml:space="preserve"> to support the charge. </w:t>
      </w:r>
    </w:p>
    <w:p w14:paraId="2B713DE7" w14:textId="63CB0C39" w:rsidR="00872AE3" w:rsidRDefault="00872AE3" w:rsidP="004020E7">
      <w:pPr>
        <w:pStyle w:val="VLADocumentText"/>
        <w:rPr>
          <w:lang w:eastAsia="en-AU"/>
        </w:rPr>
      </w:pPr>
      <w:r>
        <w:rPr>
          <w:lang w:eastAsia="en-AU"/>
        </w:rPr>
        <w:t xml:space="preserve">The Issues Paper refers to the practice of the UK Crown Prosecution Service, which actively engages with the police service and provides advice on the compilation of the brief of evidence. VLA supports this </w:t>
      </w:r>
      <w:r w:rsidRPr="00B60E47">
        <w:t>approach</w:t>
      </w:r>
      <w:r>
        <w:t xml:space="preserve">, noting that the prosecution service will require funding to </w:t>
      </w:r>
      <w:r w:rsidR="0049610C">
        <w:t>deliver these additional functions.</w:t>
      </w:r>
    </w:p>
    <w:p w14:paraId="3BDB129E" w14:textId="7D8097B4" w:rsidR="004020E7" w:rsidRDefault="00595039" w:rsidP="004020E7">
      <w:pPr>
        <w:pStyle w:val="VLADocumentText"/>
      </w:pPr>
      <w:r>
        <w:rPr>
          <w:lang w:eastAsia="en-AU"/>
        </w:rPr>
        <w:t xml:space="preserve">In Victoria, </w:t>
      </w:r>
      <w:r w:rsidR="004020E7">
        <w:t>the former OPP Specialist Sex Offence Unit assessed the charges</w:t>
      </w:r>
      <w:r w:rsidR="004020E7" w:rsidRPr="005712B8">
        <w:t xml:space="preserve"> </w:t>
      </w:r>
      <w:r w:rsidR="004020E7">
        <w:t>and gave early consideration to any evidentiary issues. Anecdotally, VLA lawyers’ experience is that it was common that this review would result in a new set of generally more appropriate charges being served and evidentiary issues being identified at an early stage.</w:t>
      </w:r>
      <w:r w:rsidR="004020E7">
        <w:rPr>
          <w:rStyle w:val="FootnoteReference"/>
        </w:rPr>
        <w:footnoteReference w:id="19"/>
      </w:r>
    </w:p>
    <w:p w14:paraId="0DE4DBDA" w14:textId="0E8B91B9" w:rsidR="00653C64" w:rsidRDefault="00013CEF" w:rsidP="00653C64">
      <w:pPr>
        <w:pStyle w:val="Heading3"/>
      </w:pPr>
      <w:bookmarkStart w:id="38" w:name="_Toc17050667"/>
      <w:bookmarkStart w:id="39" w:name="_Toc17155082"/>
      <w:r>
        <w:t xml:space="preserve">2. </w:t>
      </w:r>
      <w:r w:rsidR="00653C64">
        <w:t xml:space="preserve">Certification of the appropriateness of the charges </w:t>
      </w:r>
      <w:r w:rsidR="001264E3">
        <w:t xml:space="preserve">and </w:t>
      </w:r>
      <w:r w:rsidR="00482160">
        <w:t>disclosure</w:t>
      </w:r>
      <w:bookmarkEnd w:id="38"/>
      <w:bookmarkEnd w:id="39"/>
      <w:r w:rsidR="00653C64">
        <w:t xml:space="preserve"> </w:t>
      </w:r>
    </w:p>
    <w:p w14:paraId="17881747" w14:textId="3A8C47DA" w:rsidR="008D3A09" w:rsidRDefault="00E22967" w:rsidP="00872AE3">
      <w:pPr>
        <w:pStyle w:val="VLADocumentText"/>
        <w:rPr>
          <w:lang w:eastAsia="en-AU"/>
        </w:rPr>
      </w:pPr>
      <w:r>
        <w:rPr>
          <w:noProof/>
        </w:rPr>
        <mc:AlternateContent>
          <mc:Choice Requires="wps">
            <w:drawing>
              <wp:anchor distT="45720" distB="45720" distL="114300" distR="114300" simplePos="0" relativeHeight="251661312" behindDoc="0" locked="0" layoutInCell="1" allowOverlap="1" wp14:anchorId="0F3C0A77" wp14:editId="32AD4D0A">
                <wp:simplePos x="0" y="0"/>
                <wp:positionH relativeFrom="margin">
                  <wp:align>center</wp:align>
                </wp:positionH>
                <wp:positionV relativeFrom="paragraph">
                  <wp:posOffset>1524462</wp:posOffset>
                </wp:positionV>
                <wp:extent cx="5368925" cy="1404620"/>
                <wp:effectExtent l="0" t="0" r="2222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404620"/>
                        </a:xfrm>
                        <a:prstGeom prst="rect">
                          <a:avLst/>
                        </a:prstGeom>
                        <a:solidFill>
                          <a:srgbClr val="FFFFFF"/>
                        </a:solidFill>
                        <a:ln w="9525">
                          <a:solidFill>
                            <a:srgbClr val="000000"/>
                          </a:solidFill>
                          <a:miter lim="800000"/>
                          <a:headEnd/>
                          <a:tailEnd/>
                        </a:ln>
                      </wps:spPr>
                      <wps:txbx>
                        <w:txbxContent>
                          <w:p w14:paraId="5778121C" w14:textId="5CE614F3" w:rsidR="00241E56" w:rsidRPr="003D4AF1" w:rsidRDefault="00241E56" w:rsidP="00E22967">
                            <w:pPr>
                              <w:pStyle w:val="VLAclientexampletitle"/>
                            </w:pPr>
                            <w:r w:rsidRPr="003D4AF1">
                              <w:t xml:space="preserve">Susan - Potential for earlier involvement to support early resolution </w:t>
                            </w:r>
                          </w:p>
                          <w:p w14:paraId="345BA6A5" w14:textId="77777777" w:rsidR="00241E56" w:rsidRDefault="00241E56" w:rsidP="00E22967">
                            <w:pPr>
                              <w:pStyle w:val="VLAclientexample"/>
                            </w:pPr>
                            <w:r w:rsidRPr="00040C6C">
                              <w:rPr>
                                <w:rFonts w:eastAsia="Arial"/>
                              </w:rPr>
                              <w:t xml:space="preserve">Susan* was charged with 21 counts of obtain property by deception. </w:t>
                            </w:r>
                            <w:r>
                              <w:rPr>
                                <w:rFonts w:eastAsia="Arial"/>
                              </w:rPr>
                              <w:t xml:space="preserve">Her </w:t>
                            </w:r>
                            <w:r w:rsidRPr="00040C6C">
                              <w:rPr>
                                <w:rFonts w:eastAsia="Arial"/>
                              </w:rPr>
                              <w:t xml:space="preserve">VLA lawyer identified evidentiary deficiencies in 3 of the charges of the </w:t>
                            </w:r>
                            <w:r>
                              <w:rPr>
                                <w:rFonts w:eastAsia="Arial"/>
                              </w:rPr>
                              <w:t>p</w:t>
                            </w:r>
                            <w:r w:rsidRPr="00040C6C">
                              <w:rPr>
                                <w:rFonts w:eastAsia="Arial"/>
                              </w:rPr>
                              <w:t>rosecution case.</w:t>
                            </w:r>
                            <w:r>
                              <w:rPr>
                                <w:rFonts w:eastAsia="Arial"/>
                              </w:rPr>
                              <w:t xml:space="preserve"> </w:t>
                            </w:r>
                            <w:r w:rsidRPr="00040C6C">
                              <w:rPr>
                                <w:rFonts w:eastAsia="Arial"/>
                              </w:rPr>
                              <w:t>All charges proceeded to committal hearing, where the defence called the complainant and one witness to be cross-examined on discrete issues.</w:t>
                            </w:r>
                            <w:r>
                              <w:rPr>
                                <w:rFonts w:eastAsia="Arial"/>
                              </w:rPr>
                              <w:t xml:space="preserve"> </w:t>
                            </w:r>
                          </w:p>
                          <w:p w14:paraId="3B14E60D" w14:textId="77777777" w:rsidR="00241E56" w:rsidRDefault="00241E56" w:rsidP="00E22967">
                            <w:pPr>
                              <w:pStyle w:val="VLAclientexample"/>
                            </w:pPr>
                            <w:r>
                              <w:rPr>
                                <w:rFonts w:eastAsia="Arial"/>
                              </w:rPr>
                              <w:t>The prosecution spoke to the complainant o</w:t>
                            </w:r>
                            <w:r w:rsidRPr="00040C6C">
                              <w:rPr>
                                <w:rFonts w:eastAsia="Arial"/>
                              </w:rPr>
                              <w:t xml:space="preserve">n the morning of the committal. As a result, it was discovered the complainant’s statement in the brief was not wholly accurate. The </w:t>
                            </w:r>
                            <w:r>
                              <w:rPr>
                                <w:rFonts w:eastAsia="Arial"/>
                              </w:rPr>
                              <w:t>p</w:t>
                            </w:r>
                            <w:r w:rsidRPr="00040C6C">
                              <w:rPr>
                                <w:rFonts w:eastAsia="Arial"/>
                              </w:rPr>
                              <w:t xml:space="preserve">rosecution </w:t>
                            </w:r>
                            <w:r>
                              <w:rPr>
                                <w:rFonts w:eastAsia="Arial"/>
                              </w:rPr>
                              <w:t xml:space="preserve">required </w:t>
                            </w:r>
                            <w:r w:rsidRPr="00040C6C">
                              <w:rPr>
                                <w:rFonts w:eastAsia="Arial"/>
                              </w:rPr>
                              <w:t>an adjournment to further assess the evidence. Susan made a plea offer three weeks prior to the second committal hearing, nevertheless the offer was accepted on the day of the second committal hearing.</w:t>
                            </w:r>
                            <w:r>
                              <w:rPr>
                                <w:rFonts w:eastAsia="Arial"/>
                              </w:rPr>
                              <w:t xml:space="preserve"> </w:t>
                            </w:r>
                          </w:p>
                          <w:p w14:paraId="4EDEA90D" w14:textId="2BCA5FF5" w:rsidR="00241E56" w:rsidRDefault="00241E56" w:rsidP="00E22967">
                            <w:pPr>
                              <w:pStyle w:val="VLAclientexample"/>
                            </w:pPr>
                            <w:r w:rsidRPr="00040C6C">
                              <w:rPr>
                                <w:rFonts w:eastAsia="Arial"/>
                              </w:rPr>
                              <w:t xml:space="preserve">The example demonstrates that had the prosecution been able to </w:t>
                            </w:r>
                            <w:r>
                              <w:rPr>
                                <w:rFonts w:eastAsia="Arial"/>
                              </w:rPr>
                              <w:t xml:space="preserve">critically </w:t>
                            </w:r>
                            <w:r w:rsidRPr="00040C6C">
                              <w:rPr>
                                <w:rFonts w:eastAsia="Arial"/>
                              </w:rPr>
                              <w:t xml:space="preserve">analyse the evidence prior to the committal hearing, the inaccuracies in the complainant’s statement </w:t>
                            </w:r>
                            <w:r>
                              <w:rPr>
                                <w:rFonts w:eastAsia="Arial"/>
                              </w:rPr>
                              <w:t xml:space="preserve">may well </w:t>
                            </w:r>
                            <w:r w:rsidRPr="00040C6C">
                              <w:rPr>
                                <w:rFonts w:eastAsia="Arial"/>
                              </w:rPr>
                              <w:t>have been discovered at a much earlier stage and may have led to an amended</w:t>
                            </w:r>
                            <w:r w:rsidRPr="00D0009A">
                              <w:rPr>
                                <w:rFonts w:eastAsia="Arial"/>
                              </w:rPr>
                              <w:t xml:space="preserve"> statement being provided </w:t>
                            </w:r>
                            <w:r w:rsidRPr="00040C6C">
                              <w:rPr>
                                <w:rFonts w:eastAsia="Arial"/>
                              </w:rPr>
                              <w:t>– directly influencing the appropriateness of the charges laid.</w:t>
                            </w:r>
                            <w:r>
                              <w:rPr>
                                <w:rFonts w:eastAsia="Arial"/>
                              </w:rPr>
                              <w:t xml:space="preserve"> </w:t>
                            </w:r>
                            <w:r>
                              <w:br/>
                            </w:r>
                            <w:r w:rsidRPr="00040C6C">
                              <w:rPr>
                                <w:rFonts w:eastAsia="Arial"/>
                              </w:rPr>
                              <w:t xml:space="preserve"> </w:t>
                            </w:r>
                            <w:r>
                              <w:br/>
                            </w:r>
                            <w:r w:rsidRPr="56D6A6B6">
                              <w:rPr>
                                <w:rFonts w:eastAsia="Arial"/>
                              </w:rPr>
                              <w:t>*VLA client, not her real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C0A77" id="_x0000_s1027" type="#_x0000_t202" style="position:absolute;margin-left:0;margin-top:120.05pt;width:422.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">
                <v:textbox style="mso-fit-shape-to-text:t">
                  <w:txbxContent>
                    <w:p w14:paraId="5778121C" w14:textId="5CE614F3" w:rsidR="00241E56" w:rsidRPr="003D4AF1" w:rsidRDefault="00241E56" w:rsidP="00E22967">
                      <w:pPr>
                        <w:pStyle w:val="VLAclientexampletitle"/>
                      </w:pPr>
                      <w:r w:rsidRPr="003D4AF1">
                        <w:t xml:space="preserve">Susan - Potential for earlier involvement to support early resolution </w:t>
                      </w:r>
                    </w:p>
                    <w:p w14:paraId="345BA6A5" w14:textId="77777777" w:rsidR="00241E56" w:rsidRDefault="00241E56" w:rsidP="00E22967">
                      <w:pPr>
                        <w:pStyle w:val="VLAclientexample"/>
                      </w:pPr>
                      <w:r w:rsidRPr="00040C6C">
                        <w:rPr>
                          <w:rFonts w:eastAsia="Arial"/>
                        </w:rPr>
                        <w:t xml:space="preserve">Susan* was charged with 21 counts of obtain property by deception. </w:t>
                      </w:r>
                      <w:r>
                        <w:rPr>
                          <w:rFonts w:eastAsia="Arial"/>
                        </w:rPr>
                        <w:t xml:space="preserve">Her </w:t>
                      </w:r>
                      <w:r w:rsidRPr="00040C6C">
                        <w:rPr>
                          <w:rFonts w:eastAsia="Arial"/>
                        </w:rPr>
                        <w:t xml:space="preserve">VLA lawyer identified evidentiary deficiencies in 3 of the charges of the </w:t>
                      </w:r>
                      <w:r>
                        <w:rPr>
                          <w:rFonts w:eastAsia="Arial"/>
                        </w:rPr>
                        <w:t>p</w:t>
                      </w:r>
                      <w:r w:rsidRPr="00040C6C">
                        <w:rPr>
                          <w:rFonts w:eastAsia="Arial"/>
                        </w:rPr>
                        <w:t>rosecution case.</w:t>
                      </w:r>
                      <w:r>
                        <w:rPr>
                          <w:rFonts w:eastAsia="Arial"/>
                        </w:rPr>
                        <w:t xml:space="preserve"> </w:t>
                      </w:r>
                      <w:r w:rsidRPr="00040C6C">
                        <w:rPr>
                          <w:rFonts w:eastAsia="Arial"/>
                        </w:rPr>
                        <w:t>All charges proceeded to committal hearing, where the defence called the complainant and one witness to be cross-examined on discrete issues.</w:t>
                      </w:r>
                      <w:r>
                        <w:rPr>
                          <w:rFonts w:eastAsia="Arial"/>
                        </w:rPr>
                        <w:t xml:space="preserve"> </w:t>
                      </w:r>
                    </w:p>
                    <w:p w14:paraId="3B14E60D" w14:textId="77777777" w:rsidR="00241E56" w:rsidRDefault="00241E56" w:rsidP="00E22967">
                      <w:pPr>
                        <w:pStyle w:val="VLAclientexample"/>
                      </w:pPr>
                      <w:r>
                        <w:rPr>
                          <w:rFonts w:eastAsia="Arial"/>
                        </w:rPr>
                        <w:t>The prosecution spoke to the complainant o</w:t>
                      </w:r>
                      <w:r w:rsidRPr="00040C6C">
                        <w:rPr>
                          <w:rFonts w:eastAsia="Arial"/>
                        </w:rPr>
                        <w:t xml:space="preserve">n the morning of the committal. As a result, it was discovered the complainant’s statement in the brief was not wholly accurate. The </w:t>
                      </w:r>
                      <w:r>
                        <w:rPr>
                          <w:rFonts w:eastAsia="Arial"/>
                        </w:rPr>
                        <w:t>p</w:t>
                      </w:r>
                      <w:r w:rsidRPr="00040C6C">
                        <w:rPr>
                          <w:rFonts w:eastAsia="Arial"/>
                        </w:rPr>
                        <w:t xml:space="preserve">rosecution </w:t>
                      </w:r>
                      <w:r>
                        <w:rPr>
                          <w:rFonts w:eastAsia="Arial"/>
                        </w:rPr>
                        <w:t xml:space="preserve">required </w:t>
                      </w:r>
                      <w:r w:rsidRPr="00040C6C">
                        <w:rPr>
                          <w:rFonts w:eastAsia="Arial"/>
                        </w:rPr>
                        <w:t>an adjournment to further assess the evidence. Susan made a plea offer three weeks prior to the second committal hearing, nevertheless the offer was accepted on the day of the second committal hearing.</w:t>
                      </w:r>
                      <w:r>
                        <w:rPr>
                          <w:rFonts w:eastAsia="Arial"/>
                        </w:rPr>
                        <w:t xml:space="preserve"> </w:t>
                      </w:r>
                    </w:p>
                    <w:p w14:paraId="4EDEA90D" w14:textId="2BCA5FF5" w:rsidR="00241E56" w:rsidRDefault="00241E56" w:rsidP="00E22967">
                      <w:pPr>
                        <w:pStyle w:val="VLAclientexample"/>
                      </w:pPr>
                      <w:r w:rsidRPr="00040C6C">
                        <w:rPr>
                          <w:rFonts w:eastAsia="Arial"/>
                        </w:rPr>
                        <w:t xml:space="preserve">The example demonstrates that had the prosecution been able to </w:t>
                      </w:r>
                      <w:r>
                        <w:rPr>
                          <w:rFonts w:eastAsia="Arial"/>
                        </w:rPr>
                        <w:t xml:space="preserve">critically </w:t>
                      </w:r>
                      <w:r w:rsidRPr="00040C6C">
                        <w:rPr>
                          <w:rFonts w:eastAsia="Arial"/>
                        </w:rPr>
                        <w:t xml:space="preserve">analyse the evidence prior to the committal hearing, the inaccuracies in the complainant’s statement </w:t>
                      </w:r>
                      <w:r>
                        <w:rPr>
                          <w:rFonts w:eastAsia="Arial"/>
                        </w:rPr>
                        <w:t xml:space="preserve">may well </w:t>
                      </w:r>
                      <w:r w:rsidRPr="00040C6C">
                        <w:rPr>
                          <w:rFonts w:eastAsia="Arial"/>
                        </w:rPr>
                        <w:t>have been discovered at a much earlier stage and may have led to an amended</w:t>
                      </w:r>
                      <w:r w:rsidRPr="00D0009A">
                        <w:rPr>
                          <w:rFonts w:eastAsia="Arial"/>
                        </w:rPr>
                        <w:t xml:space="preserve"> statement being provided </w:t>
                      </w:r>
                      <w:r w:rsidRPr="00040C6C">
                        <w:rPr>
                          <w:rFonts w:eastAsia="Arial"/>
                        </w:rPr>
                        <w:t>– directly influencing the appropriateness of the charges laid.</w:t>
                      </w:r>
                      <w:r>
                        <w:rPr>
                          <w:rFonts w:eastAsia="Arial"/>
                        </w:rPr>
                        <w:t xml:space="preserve"> </w:t>
                      </w:r>
                      <w:r>
                        <w:br/>
                      </w:r>
                      <w:r w:rsidRPr="00040C6C">
                        <w:rPr>
                          <w:rFonts w:eastAsia="Arial"/>
                        </w:rPr>
                        <w:t xml:space="preserve"> </w:t>
                      </w:r>
                      <w:r>
                        <w:br/>
                      </w:r>
                      <w:r w:rsidRPr="56D6A6B6">
                        <w:rPr>
                          <w:rFonts w:eastAsia="Arial"/>
                        </w:rPr>
                        <w:t>*VLA client, not her real name.</w:t>
                      </w:r>
                    </w:p>
                  </w:txbxContent>
                </v:textbox>
                <w10:wrap type="topAndBottom" anchorx="margin"/>
              </v:shape>
            </w:pict>
          </mc:Fallback>
        </mc:AlternateContent>
      </w:r>
      <w:r w:rsidR="00260BB6">
        <w:rPr>
          <w:lang w:eastAsia="en-AU"/>
        </w:rPr>
        <w:t xml:space="preserve">The </w:t>
      </w:r>
      <w:r w:rsidR="00872AE3">
        <w:rPr>
          <w:lang w:eastAsia="en-AU"/>
        </w:rPr>
        <w:t>Issues P</w:t>
      </w:r>
      <w:r w:rsidR="00260BB6">
        <w:rPr>
          <w:lang w:eastAsia="en-AU"/>
        </w:rPr>
        <w:t>aper refers to the recent amendments in NSW which requires a senior prosecutor to certify that the charges are appropriate. VLA supports th</w:t>
      </w:r>
      <w:r w:rsidR="00595039">
        <w:rPr>
          <w:lang w:eastAsia="en-AU"/>
        </w:rPr>
        <w:t>is</w:t>
      </w:r>
      <w:r w:rsidR="00260BB6">
        <w:rPr>
          <w:lang w:eastAsia="en-AU"/>
        </w:rPr>
        <w:t xml:space="preserve"> </w:t>
      </w:r>
      <w:r w:rsidR="00260BB6" w:rsidRPr="00B60E47">
        <w:t>approach</w:t>
      </w:r>
      <w:r w:rsidR="00260BB6">
        <w:rPr>
          <w:lang w:eastAsia="en-AU"/>
        </w:rPr>
        <w:t>.</w:t>
      </w:r>
      <w:r w:rsidR="00482160">
        <w:rPr>
          <w:lang w:eastAsia="en-AU"/>
        </w:rPr>
        <w:t xml:space="preserve"> W</w:t>
      </w:r>
      <w:r w:rsidR="00872AE3">
        <w:rPr>
          <w:lang w:eastAsia="en-AU"/>
        </w:rPr>
        <w:t xml:space="preserve">e suggest </w:t>
      </w:r>
      <w:r w:rsidR="008D3A09">
        <w:rPr>
          <w:lang w:eastAsia="en-AU"/>
        </w:rPr>
        <w:t xml:space="preserve">that </w:t>
      </w:r>
      <w:r w:rsidR="00872AE3">
        <w:rPr>
          <w:lang w:eastAsia="en-AU"/>
        </w:rPr>
        <w:t xml:space="preserve">the </w:t>
      </w:r>
      <w:r w:rsidR="00482160">
        <w:rPr>
          <w:lang w:eastAsia="en-AU"/>
        </w:rPr>
        <w:t xml:space="preserve">certification could approve the charges as well as </w:t>
      </w:r>
      <w:r w:rsidR="00A67C23">
        <w:rPr>
          <w:lang w:eastAsia="en-AU"/>
        </w:rPr>
        <w:t xml:space="preserve">the </w:t>
      </w:r>
      <w:r w:rsidR="009D7385">
        <w:rPr>
          <w:lang w:eastAsia="en-AU"/>
        </w:rPr>
        <w:t>full</w:t>
      </w:r>
      <w:r w:rsidR="00A67C23">
        <w:rPr>
          <w:lang w:eastAsia="en-AU"/>
        </w:rPr>
        <w:t xml:space="preserve"> </w:t>
      </w:r>
      <w:r w:rsidR="0000661E">
        <w:rPr>
          <w:lang w:eastAsia="en-AU"/>
        </w:rPr>
        <w:t>satisfaction</w:t>
      </w:r>
      <w:r w:rsidR="00A67C23">
        <w:rPr>
          <w:lang w:eastAsia="en-AU"/>
        </w:rPr>
        <w:t xml:space="preserve"> of </w:t>
      </w:r>
      <w:r w:rsidR="00872AE3" w:rsidRPr="00F414F1">
        <w:rPr>
          <w:lang w:eastAsia="en-AU"/>
        </w:rPr>
        <w:t>disclosure</w:t>
      </w:r>
      <w:r w:rsidR="0000661E">
        <w:rPr>
          <w:lang w:eastAsia="en-AU"/>
        </w:rPr>
        <w:t xml:space="preserve"> </w:t>
      </w:r>
      <w:r w:rsidR="0000661E">
        <w:rPr>
          <w:lang w:eastAsia="en-AU"/>
        </w:rPr>
        <w:lastRenderedPageBreak/>
        <w:t>requirements</w:t>
      </w:r>
      <w:r w:rsidR="00872AE3">
        <w:rPr>
          <w:lang w:eastAsia="en-AU"/>
        </w:rPr>
        <w:t xml:space="preserve">. </w:t>
      </w:r>
      <w:r w:rsidR="00482160">
        <w:rPr>
          <w:lang w:eastAsia="en-AU"/>
        </w:rPr>
        <w:t xml:space="preserve">Such a certificate should </w:t>
      </w:r>
      <w:r w:rsidR="00482160" w:rsidRPr="00F414F1">
        <w:rPr>
          <w:lang w:eastAsia="en-AU"/>
        </w:rPr>
        <w:t xml:space="preserve">indicate to the </w:t>
      </w:r>
      <w:r w:rsidR="00482160">
        <w:rPr>
          <w:lang w:eastAsia="en-AU"/>
        </w:rPr>
        <w:t>c</w:t>
      </w:r>
      <w:r w:rsidR="00482160" w:rsidRPr="00F414F1">
        <w:rPr>
          <w:lang w:eastAsia="en-AU"/>
        </w:rPr>
        <w:t xml:space="preserve">ourt </w:t>
      </w:r>
      <w:r w:rsidR="00482160">
        <w:rPr>
          <w:lang w:eastAsia="en-AU"/>
        </w:rPr>
        <w:t xml:space="preserve">and defence </w:t>
      </w:r>
      <w:r w:rsidR="00482160" w:rsidRPr="00F414F1">
        <w:rPr>
          <w:lang w:eastAsia="en-AU"/>
        </w:rPr>
        <w:t>that proper disclosure has been made of everything that is currently available</w:t>
      </w:r>
      <w:r w:rsidR="00482160">
        <w:rPr>
          <w:lang w:eastAsia="en-AU"/>
        </w:rPr>
        <w:t>,</w:t>
      </w:r>
      <w:r w:rsidR="00482160" w:rsidRPr="00F414F1">
        <w:rPr>
          <w:lang w:eastAsia="en-AU"/>
        </w:rPr>
        <w:t xml:space="preserve"> and </w:t>
      </w:r>
      <w:r w:rsidR="00245DE7">
        <w:rPr>
          <w:lang w:eastAsia="en-AU"/>
        </w:rPr>
        <w:t xml:space="preserve">provide </w:t>
      </w:r>
      <w:r w:rsidR="00482160" w:rsidRPr="00F414F1">
        <w:rPr>
          <w:lang w:eastAsia="en-AU"/>
        </w:rPr>
        <w:t xml:space="preserve">detail </w:t>
      </w:r>
      <w:r w:rsidR="00245DE7">
        <w:rPr>
          <w:lang w:eastAsia="en-AU"/>
        </w:rPr>
        <w:t xml:space="preserve">of all </w:t>
      </w:r>
      <w:r w:rsidR="00482160" w:rsidRPr="00F414F1">
        <w:rPr>
          <w:lang w:eastAsia="en-AU"/>
        </w:rPr>
        <w:t>outstanding investigations</w:t>
      </w:r>
      <w:r w:rsidR="00482160">
        <w:rPr>
          <w:lang w:eastAsia="en-AU"/>
        </w:rPr>
        <w:t xml:space="preserve"> and</w:t>
      </w:r>
      <w:r w:rsidR="00482160" w:rsidRPr="00F414F1">
        <w:rPr>
          <w:lang w:eastAsia="en-AU"/>
        </w:rPr>
        <w:t xml:space="preserve"> procedures that the prosecution intends to carry out</w:t>
      </w:r>
      <w:r w:rsidR="00482160">
        <w:rPr>
          <w:lang w:eastAsia="en-AU"/>
        </w:rPr>
        <w:t xml:space="preserve">. </w:t>
      </w:r>
      <w:r w:rsidR="008D3A09">
        <w:rPr>
          <w:lang w:eastAsia="en-AU"/>
        </w:rPr>
        <w:t xml:space="preserve">This is discussed further </w:t>
      </w:r>
      <w:r w:rsidR="005461CE">
        <w:rPr>
          <w:lang w:eastAsia="en-AU"/>
        </w:rPr>
        <w:t xml:space="preserve">in response to </w:t>
      </w:r>
      <w:r w:rsidR="0085392E" w:rsidRPr="0085392E">
        <w:rPr>
          <w:b/>
          <w:lang w:eastAsia="en-AU"/>
        </w:rPr>
        <w:t>Q</w:t>
      </w:r>
      <w:r w:rsidR="008D3A09" w:rsidRPr="0085392E">
        <w:rPr>
          <w:b/>
          <w:lang w:eastAsia="en-AU"/>
        </w:rPr>
        <w:t>uestion</w:t>
      </w:r>
      <w:r w:rsidR="008D3A09">
        <w:rPr>
          <w:lang w:eastAsia="en-AU"/>
        </w:rPr>
        <w:t xml:space="preserve"> </w:t>
      </w:r>
      <w:r w:rsidR="008D3A09" w:rsidRPr="0085392E">
        <w:rPr>
          <w:b/>
          <w:lang w:eastAsia="en-AU"/>
        </w:rPr>
        <w:t>4</w:t>
      </w:r>
      <w:r w:rsidR="008D3A09">
        <w:rPr>
          <w:lang w:eastAsia="en-AU"/>
        </w:rPr>
        <w:t xml:space="preserve">. </w:t>
      </w:r>
    </w:p>
    <w:p w14:paraId="60B75DF3" w14:textId="1655AA1E" w:rsidR="00653C64" w:rsidRDefault="00013CEF" w:rsidP="00653C64">
      <w:pPr>
        <w:pStyle w:val="Heading3"/>
      </w:pPr>
      <w:bookmarkStart w:id="40" w:name="_Toc17050668"/>
      <w:bookmarkStart w:id="41" w:name="_Toc17155083"/>
      <w:r>
        <w:t xml:space="preserve">3. </w:t>
      </w:r>
      <w:r w:rsidR="00653C64">
        <w:t xml:space="preserve">Communicating with </w:t>
      </w:r>
      <w:r w:rsidR="00FE33E0">
        <w:t>victims</w:t>
      </w:r>
      <w:bookmarkEnd w:id="40"/>
      <w:bookmarkEnd w:id="41"/>
      <w:r w:rsidR="00FE33E0">
        <w:t xml:space="preserve"> </w:t>
      </w:r>
    </w:p>
    <w:p w14:paraId="760AF301" w14:textId="09044120" w:rsidR="003E0017" w:rsidRDefault="003E0017" w:rsidP="00260BB6">
      <w:pPr>
        <w:pStyle w:val="VLADocumentText"/>
        <w:widowControl w:val="0"/>
      </w:pPr>
      <w:r>
        <w:t xml:space="preserve">Earlier coordination between </w:t>
      </w:r>
      <w:r w:rsidR="00806185">
        <w:t xml:space="preserve">investigation and prosecution </w:t>
      </w:r>
      <w:r w:rsidR="009A2A7C">
        <w:t xml:space="preserve">agencies </w:t>
      </w:r>
      <w:r w:rsidR="00806185">
        <w:t xml:space="preserve">ensures that victims are supported with </w:t>
      </w:r>
      <w:r w:rsidR="00886D01">
        <w:t xml:space="preserve">relevant </w:t>
      </w:r>
      <w:r w:rsidR="00806185">
        <w:t xml:space="preserve">information about the likely progress of a matter through criminal justice processes. </w:t>
      </w:r>
      <w:r w:rsidR="00886D01">
        <w:t xml:space="preserve">This can assist to manage their expectations and avoid any trauma associated with a change in the nature or number of charges progressing to prosecution. </w:t>
      </w:r>
    </w:p>
    <w:p w14:paraId="395A4E50" w14:textId="1E461892" w:rsidR="00260BB6" w:rsidRDefault="00260BB6" w:rsidP="00260BB6">
      <w:pPr>
        <w:pStyle w:val="VLADocumentText"/>
        <w:widowControl w:val="0"/>
      </w:pPr>
      <w:r>
        <w:t>The Centre for Innovative Justice’s research into c</w:t>
      </w:r>
      <w:r w:rsidRPr="000B51E6">
        <w:t>ommunicating with victims, found that the victims in their</w:t>
      </w:r>
      <w:r>
        <w:t xml:space="preserve"> study had already formed views about the likely outcome of a case before they had had contact with the OPP, largely based on assurances they were given by members of the police. The report notes: </w:t>
      </w:r>
    </w:p>
    <w:p w14:paraId="587B1DD7" w14:textId="77777777" w:rsidR="00260BB6" w:rsidRPr="00914631" w:rsidRDefault="00260BB6" w:rsidP="004D2F69">
      <w:pPr>
        <w:pStyle w:val="VLAquotation"/>
      </w:pPr>
      <w:r w:rsidRPr="00914631">
        <w:t>Therefore, victims’ unrealistic expectations, which police may contribute to, may make it harder for them to understand the case. It is also clear that the creation of unrealistic expectations among victims sets the conditions for a problematic dynamic between the victim and the OPP from the outset, due to OPP lawyers having to correct victims’ unrealistic expectations, which can be experienced as bad news by victims</w:t>
      </w:r>
      <w:r>
        <w:t>.</w:t>
      </w:r>
      <w:bookmarkStart w:id="42" w:name="_Ref17107186"/>
      <w:r>
        <w:rPr>
          <w:rStyle w:val="FootnoteReference"/>
        </w:rPr>
        <w:footnoteReference w:id="20"/>
      </w:r>
      <w:bookmarkEnd w:id="42"/>
    </w:p>
    <w:p w14:paraId="4E2574AE" w14:textId="55629DB4" w:rsidR="007D36F9" w:rsidRDefault="00260BB6" w:rsidP="00260BB6">
      <w:pPr>
        <w:pStyle w:val="VLADocumentText"/>
        <w:widowControl w:val="0"/>
      </w:pPr>
      <w:r>
        <w:t xml:space="preserve">The </w:t>
      </w:r>
      <w:r w:rsidR="00A57CDF">
        <w:t>CIJ</w:t>
      </w:r>
      <w:r>
        <w:t xml:space="preserve"> Report recommends that “the OPP should liaise with Victoria Police to identify strategies to support police officers to communicate effectively with victims about prosecution processes and decisions.”</w:t>
      </w:r>
      <w:r>
        <w:rPr>
          <w:rStyle w:val="FootnoteReference"/>
        </w:rPr>
        <w:footnoteReference w:id="21"/>
      </w:r>
      <w:r>
        <w:t xml:space="preserve"> This </w:t>
      </w:r>
      <w:r w:rsidR="00480DF8">
        <w:t xml:space="preserve">aligns </w:t>
      </w:r>
      <w:r>
        <w:t>well with our</w:t>
      </w:r>
      <w:r w:rsidR="00A8535F">
        <w:t xml:space="preserve"> </w:t>
      </w:r>
      <w:r w:rsidR="001E3064">
        <w:t>recommendation</w:t>
      </w:r>
      <w:r>
        <w:t xml:space="preserve"> that prosecutors should engage with investigators earlier, and </w:t>
      </w:r>
      <w:r w:rsidR="00653C64">
        <w:t xml:space="preserve">that </w:t>
      </w:r>
      <w:r>
        <w:t>both Victoria Police and the OPP could involve the complainant at the pre-charge and the brief compilation stages of the investigation</w:t>
      </w:r>
      <w:r w:rsidR="00653C64">
        <w:t>,</w:t>
      </w:r>
      <w:r>
        <w:t xml:space="preserve"> in accordance with their obligations under the </w:t>
      </w:r>
      <w:r w:rsidRPr="008B5A4C">
        <w:rPr>
          <w:i/>
          <w:iCs/>
        </w:rPr>
        <w:t>Victims Charter Act 2006</w:t>
      </w:r>
      <w:r w:rsidR="00F37685">
        <w:rPr>
          <w:i/>
          <w:iCs/>
        </w:rPr>
        <w:t>.</w:t>
      </w:r>
      <w:r w:rsidR="00073140">
        <w:rPr>
          <w:i/>
          <w:iCs/>
        </w:rPr>
        <w:t xml:space="preserve"> </w:t>
      </w:r>
      <w:r w:rsidR="00F37685" w:rsidRPr="00F73B4C">
        <w:t>Th</w:t>
      </w:r>
      <w:r w:rsidR="00AC0A57" w:rsidRPr="00F70760">
        <w:t>ese obligations require</w:t>
      </w:r>
      <w:r w:rsidR="00121415" w:rsidRPr="00F73B4C">
        <w:t xml:space="preserve"> </w:t>
      </w:r>
      <w:r w:rsidR="00AC0A57" w:rsidRPr="00F70760">
        <w:t>agenc</w:t>
      </w:r>
      <w:r w:rsidR="00121415" w:rsidRPr="00141791">
        <w:t>ies</w:t>
      </w:r>
      <w:r>
        <w:t xml:space="preserve"> to tell complainants about key progress in the investigation and the prosecution, including charges laid. </w:t>
      </w:r>
    </w:p>
    <w:p w14:paraId="39A4B791" w14:textId="5E0E1F25" w:rsidR="00653C64" w:rsidRDefault="00013CEF" w:rsidP="00653C64">
      <w:pPr>
        <w:pStyle w:val="Heading3"/>
      </w:pPr>
      <w:bookmarkStart w:id="43" w:name="_Toc17050669"/>
      <w:bookmarkStart w:id="44" w:name="_Toc17155084"/>
      <w:r>
        <w:t xml:space="preserve">4. </w:t>
      </w:r>
      <w:r w:rsidR="00653C64">
        <w:t>Early engagement with the evidence by all parties</w:t>
      </w:r>
      <w:r w:rsidR="00803749">
        <w:t>, including senior prosecutors</w:t>
      </w:r>
      <w:bookmarkEnd w:id="43"/>
      <w:bookmarkEnd w:id="44"/>
      <w:r w:rsidR="00653C64">
        <w:t xml:space="preserve"> </w:t>
      </w:r>
    </w:p>
    <w:p w14:paraId="2BC95777" w14:textId="098B7EC6" w:rsidR="007D36F9" w:rsidRDefault="00F769F2" w:rsidP="00260BB6">
      <w:pPr>
        <w:pStyle w:val="VLADocumentText"/>
        <w:rPr>
          <w:lang w:eastAsia="en-AU"/>
        </w:rPr>
      </w:pPr>
      <w:r>
        <w:t>Earlier</w:t>
      </w:r>
      <w:r w:rsidR="00260BB6" w:rsidRPr="00C54E20">
        <w:t xml:space="preserve"> communication between defence</w:t>
      </w:r>
      <w:r w:rsidR="00260BB6">
        <w:t xml:space="preserve">, </w:t>
      </w:r>
      <w:r w:rsidR="00260BB6" w:rsidRPr="00C54E20">
        <w:t>prosecution</w:t>
      </w:r>
      <w:r w:rsidR="00260BB6">
        <w:t xml:space="preserve"> and the informant, </w:t>
      </w:r>
      <w:r w:rsidR="00260BB6" w:rsidRPr="00C54E20">
        <w:t xml:space="preserve">focusing on the issues in dispute, </w:t>
      </w:r>
      <w:r w:rsidR="00260BB6">
        <w:t xml:space="preserve">the </w:t>
      </w:r>
      <w:r w:rsidR="00260BB6" w:rsidRPr="00C54E20">
        <w:t>strength</w:t>
      </w:r>
      <w:r w:rsidR="00260BB6">
        <w:t xml:space="preserve">s and </w:t>
      </w:r>
      <w:r w:rsidR="00260BB6" w:rsidRPr="00C54E20">
        <w:t xml:space="preserve">weaknesses of </w:t>
      </w:r>
      <w:r w:rsidR="00260BB6">
        <w:t xml:space="preserve">the </w:t>
      </w:r>
      <w:r w:rsidR="00260BB6" w:rsidRPr="00C54E20">
        <w:t xml:space="preserve">evidence relied upon to prove the elements of a charge, and timely disclosure, </w:t>
      </w:r>
      <w:r w:rsidR="00260BB6">
        <w:t>w</w:t>
      </w:r>
      <w:r w:rsidR="00260BB6" w:rsidRPr="00C54E20">
        <w:t xml:space="preserve">ould significantly contribute to the </w:t>
      </w:r>
      <w:r w:rsidR="00260BB6">
        <w:t xml:space="preserve">early identification of the </w:t>
      </w:r>
      <w:r w:rsidR="00260BB6" w:rsidRPr="00C54E20">
        <w:t>appropriate charges.</w:t>
      </w:r>
      <w:r w:rsidR="00260BB6" w:rsidRPr="00D30AFE">
        <w:t xml:space="preserve"> </w:t>
      </w:r>
      <w:r w:rsidR="00CB2484">
        <w:t xml:space="preserve">Our </w:t>
      </w:r>
      <w:r w:rsidR="00CB2484">
        <w:rPr>
          <w:lang w:eastAsia="en-AU"/>
        </w:rPr>
        <w:t>s</w:t>
      </w:r>
      <w:r w:rsidR="007D36F9">
        <w:rPr>
          <w:lang w:eastAsia="en-AU"/>
        </w:rPr>
        <w:t>uggestions</w:t>
      </w:r>
      <w:r w:rsidR="00A8535F">
        <w:rPr>
          <w:lang w:eastAsia="en-AU"/>
        </w:rPr>
        <w:t xml:space="preserve"> </w:t>
      </w:r>
      <w:r w:rsidR="00CB2484">
        <w:rPr>
          <w:lang w:eastAsia="en-AU"/>
        </w:rPr>
        <w:t xml:space="preserve">for </w:t>
      </w:r>
      <w:r w:rsidR="007D36F9">
        <w:rPr>
          <w:lang w:eastAsia="en-AU"/>
        </w:rPr>
        <w:t>improv</w:t>
      </w:r>
      <w:r w:rsidR="00CB2484">
        <w:rPr>
          <w:lang w:eastAsia="en-AU"/>
        </w:rPr>
        <w:t>ing</w:t>
      </w:r>
      <w:r w:rsidR="007D36F9">
        <w:rPr>
          <w:lang w:eastAsia="en-AU"/>
        </w:rPr>
        <w:t xml:space="preserve"> </w:t>
      </w:r>
      <w:r w:rsidR="007D36F9" w:rsidRPr="004675C4">
        <w:rPr>
          <w:lang w:eastAsia="en-AU"/>
        </w:rPr>
        <w:t>disclosure</w:t>
      </w:r>
      <w:r w:rsidR="007D36F9">
        <w:rPr>
          <w:lang w:eastAsia="en-AU"/>
        </w:rPr>
        <w:t xml:space="preserve"> and</w:t>
      </w:r>
      <w:r w:rsidR="007D36F9" w:rsidRPr="004675C4">
        <w:rPr>
          <w:lang w:eastAsia="en-AU"/>
        </w:rPr>
        <w:t xml:space="preserve"> timely analysis of the </w:t>
      </w:r>
      <w:r w:rsidR="007D36F9">
        <w:rPr>
          <w:lang w:eastAsia="en-AU"/>
        </w:rPr>
        <w:t xml:space="preserve">evidence by all parties are discussed below </w:t>
      </w:r>
      <w:r w:rsidR="001A1F1C">
        <w:rPr>
          <w:lang w:eastAsia="en-AU"/>
        </w:rPr>
        <w:t xml:space="preserve">in response to </w:t>
      </w:r>
      <w:r w:rsidR="0085392E" w:rsidRPr="0085392E">
        <w:rPr>
          <w:b/>
          <w:lang w:eastAsia="en-AU"/>
        </w:rPr>
        <w:t>Questions 4 and 5</w:t>
      </w:r>
      <w:r w:rsidR="007D36F9">
        <w:rPr>
          <w:lang w:eastAsia="en-AU"/>
        </w:rPr>
        <w:t>.</w:t>
      </w:r>
    </w:p>
    <w:p w14:paraId="0994E33E" w14:textId="560A06B3" w:rsidR="00260BB6" w:rsidRPr="00E44D59" w:rsidRDefault="00260BB6" w:rsidP="00817ABC">
      <w:pPr>
        <w:pStyle w:val="Heading1"/>
      </w:pPr>
      <w:bookmarkStart w:id="45" w:name="_Toc17050670"/>
      <w:bookmarkStart w:id="46" w:name="_Toc17155085"/>
      <w:r w:rsidRPr="00E44D59">
        <w:t>Question 4. What measures can be introduced to improve disclosure in indictable matters?</w:t>
      </w:r>
      <w:r>
        <w:t xml:space="preserve"> </w:t>
      </w:r>
      <w:r w:rsidRPr="00E44D59">
        <w:t>a) between investigating agencies and the DPP? b) between prosecutors and the defence?</w:t>
      </w:r>
      <w:bookmarkEnd w:id="45"/>
      <w:bookmarkEnd w:id="46"/>
    </w:p>
    <w:p w14:paraId="5F8EC1C2" w14:textId="0AF59571" w:rsidR="00205D76" w:rsidRDefault="00545114" w:rsidP="00CA67D6">
      <w:pPr>
        <w:pStyle w:val="VLADocumentText"/>
        <w:rPr>
          <w:lang w:eastAsia="en-AU"/>
        </w:rPr>
      </w:pPr>
      <w:r>
        <w:rPr>
          <w:lang w:eastAsia="en-AU"/>
        </w:rPr>
        <w:t xml:space="preserve">VLA supports the following measures to improve </w:t>
      </w:r>
      <w:r w:rsidR="00205D76">
        <w:rPr>
          <w:lang w:eastAsia="en-AU"/>
        </w:rPr>
        <w:t>disclosure</w:t>
      </w:r>
      <w:r>
        <w:rPr>
          <w:lang w:eastAsia="en-AU"/>
        </w:rPr>
        <w:t xml:space="preserve"> in indictable matters</w:t>
      </w:r>
      <w:r w:rsidR="00205D76">
        <w:rPr>
          <w:lang w:eastAsia="en-AU"/>
        </w:rPr>
        <w:t xml:space="preserve">: </w:t>
      </w:r>
    </w:p>
    <w:p w14:paraId="43A5D1BB" w14:textId="5D426095" w:rsidR="00205D76" w:rsidRDefault="00B006C9" w:rsidP="00AB2AED">
      <w:pPr>
        <w:pStyle w:val="VLADocumentText"/>
        <w:numPr>
          <w:ilvl w:val="0"/>
          <w:numId w:val="47"/>
        </w:numPr>
        <w:spacing w:before="60"/>
        <w:ind w:left="714" w:hanging="357"/>
        <w:rPr>
          <w:lang w:eastAsia="en-AU"/>
        </w:rPr>
      </w:pPr>
      <w:r>
        <w:rPr>
          <w:lang w:eastAsia="en-AU"/>
        </w:rPr>
        <w:t>standardised disclosure across all indictable matters;</w:t>
      </w:r>
    </w:p>
    <w:p w14:paraId="4B6BBFA9" w14:textId="10615DE4" w:rsidR="00205D76" w:rsidRDefault="00B006C9" w:rsidP="00AB2AED">
      <w:pPr>
        <w:pStyle w:val="VLADocumentText"/>
        <w:numPr>
          <w:ilvl w:val="0"/>
          <w:numId w:val="47"/>
        </w:numPr>
        <w:spacing w:before="60"/>
        <w:ind w:left="714" w:hanging="357"/>
        <w:rPr>
          <w:lang w:eastAsia="en-AU"/>
        </w:rPr>
      </w:pPr>
      <w:r>
        <w:rPr>
          <w:lang w:eastAsia="en-AU"/>
        </w:rPr>
        <w:lastRenderedPageBreak/>
        <w:t>prosecution review and supervision of disclosure and certification;</w:t>
      </w:r>
    </w:p>
    <w:p w14:paraId="673E1F77" w14:textId="3822E9F7" w:rsidR="00205D76" w:rsidRDefault="00B006C9" w:rsidP="00AB2AED">
      <w:pPr>
        <w:pStyle w:val="VLADocumentText"/>
        <w:numPr>
          <w:ilvl w:val="0"/>
          <w:numId w:val="47"/>
        </w:numPr>
        <w:spacing w:before="60"/>
        <w:ind w:left="714" w:hanging="357"/>
        <w:rPr>
          <w:lang w:eastAsia="en-AU"/>
        </w:rPr>
      </w:pPr>
      <w:r>
        <w:rPr>
          <w:lang w:eastAsia="en-AU"/>
        </w:rPr>
        <w:t>filing hearing directions and forensic analysis;</w:t>
      </w:r>
    </w:p>
    <w:p w14:paraId="554A1822" w14:textId="06D3B403" w:rsidR="00205D76" w:rsidRDefault="00B006C9" w:rsidP="00AB2AED">
      <w:pPr>
        <w:pStyle w:val="VLADocumentText"/>
        <w:numPr>
          <w:ilvl w:val="0"/>
          <w:numId w:val="47"/>
        </w:numPr>
        <w:spacing w:before="60"/>
        <w:ind w:left="714" w:hanging="357"/>
        <w:rPr>
          <w:lang w:eastAsia="en-AU"/>
        </w:rPr>
      </w:pPr>
      <w:r>
        <w:rPr>
          <w:lang w:eastAsia="en-AU"/>
        </w:rPr>
        <w:t>conferencing and seniority of prosecutors; and</w:t>
      </w:r>
    </w:p>
    <w:p w14:paraId="39A5AC87" w14:textId="01AA4980" w:rsidR="00205D76" w:rsidRDefault="00B006C9" w:rsidP="00AB2AED">
      <w:pPr>
        <w:pStyle w:val="VLADocumentText"/>
        <w:numPr>
          <w:ilvl w:val="0"/>
          <w:numId w:val="47"/>
        </w:numPr>
        <w:spacing w:before="60"/>
        <w:ind w:left="714" w:hanging="357"/>
        <w:rPr>
          <w:lang w:eastAsia="en-AU"/>
        </w:rPr>
      </w:pPr>
      <w:r>
        <w:rPr>
          <w:lang w:eastAsia="en-AU"/>
        </w:rPr>
        <w:t xml:space="preserve">communication </w:t>
      </w:r>
      <w:r w:rsidR="00205D76">
        <w:rPr>
          <w:lang w:eastAsia="en-AU"/>
        </w:rPr>
        <w:t>and engagement between parties</w:t>
      </w:r>
      <w:r w:rsidR="00AB2AED">
        <w:rPr>
          <w:lang w:eastAsia="en-AU"/>
        </w:rPr>
        <w:t>.</w:t>
      </w:r>
    </w:p>
    <w:p w14:paraId="2CA32833" w14:textId="02295150" w:rsidR="00E154A6" w:rsidRDefault="00260BB6" w:rsidP="00E154A6">
      <w:pPr>
        <w:pStyle w:val="VLADocumentText"/>
        <w:rPr>
          <w:rFonts w:cs="Arial"/>
          <w:lang w:eastAsia="en-AU"/>
        </w:rPr>
      </w:pPr>
      <w:r>
        <w:rPr>
          <w:w w:val="105"/>
        </w:rPr>
        <w:t>Disclosure fundamentally goes to a person’s rights in criminal proceedings</w:t>
      </w:r>
      <w:r w:rsidRPr="00633B81">
        <w:t>.</w:t>
      </w:r>
      <w:r w:rsidR="00971F43">
        <w:rPr>
          <w:rStyle w:val="FootnoteReference"/>
          <w:spacing w:val="-5"/>
          <w:w w:val="105"/>
        </w:rPr>
        <w:footnoteReference w:id="22"/>
      </w:r>
      <w:r w:rsidR="00F24914">
        <w:t xml:space="preserve"> </w:t>
      </w:r>
      <w:r w:rsidRPr="00E44D59">
        <w:rPr>
          <w:rFonts w:cs="Arial"/>
          <w:lang w:eastAsia="en-AU"/>
        </w:rPr>
        <w:t xml:space="preserve">Timely </w:t>
      </w:r>
      <w:r>
        <w:rPr>
          <w:rFonts w:cs="Arial"/>
          <w:lang w:eastAsia="en-AU"/>
        </w:rPr>
        <w:t>d</w:t>
      </w:r>
      <w:r>
        <w:rPr>
          <w:w w:val="105"/>
        </w:rPr>
        <w:t xml:space="preserve">isclosure is </w:t>
      </w:r>
      <w:r w:rsidR="005F1D2C">
        <w:rPr>
          <w:w w:val="105"/>
        </w:rPr>
        <w:t>also</w:t>
      </w:r>
      <w:r>
        <w:rPr>
          <w:w w:val="105"/>
        </w:rPr>
        <w:t xml:space="preserve"> critical to facilitating early resolution.</w:t>
      </w:r>
      <w:r w:rsidRPr="009230D4">
        <w:rPr>
          <w:lang w:eastAsia="en-AU"/>
        </w:rPr>
        <w:t xml:space="preserve"> </w:t>
      </w:r>
      <w:r w:rsidR="0097224D">
        <w:rPr>
          <w:lang w:eastAsia="en-AU"/>
        </w:rPr>
        <w:t xml:space="preserve">In our experience, </w:t>
      </w:r>
      <w:r w:rsidR="00E73588">
        <w:rPr>
          <w:lang w:eastAsia="en-AU"/>
        </w:rPr>
        <w:t xml:space="preserve">defence lawyers </w:t>
      </w:r>
      <w:r w:rsidR="0097224D">
        <w:rPr>
          <w:lang w:eastAsia="en-AU"/>
        </w:rPr>
        <w:t xml:space="preserve">cannot provide </w:t>
      </w:r>
      <w:r w:rsidR="00E52ECE">
        <w:rPr>
          <w:lang w:eastAsia="en-AU"/>
        </w:rPr>
        <w:t xml:space="preserve">proper </w:t>
      </w:r>
      <w:r>
        <w:t>advi</w:t>
      </w:r>
      <w:r w:rsidR="0097224D">
        <w:t xml:space="preserve">ce </w:t>
      </w:r>
      <w:r>
        <w:t xml:space="preserve">on the merits of a case without disclosure of all of the supporting evidence. </w:t>
      </w:r>
      <w:r>
        <w:rPr>
          <w:lang w:eastAsia="en-AU"/>
        </w:rPr>
        <w:t>Furthermore, c</w:t>
      </w:r>
      <w:r>
        <w:t>lients are often not persuaded by the strength of a case until they have seen the information for themselves. </w:t>
      </w:r>
      <w:r w:rsidR="0002485A">
        <w:t>We note that t</w:t>
      </w:r>
      <w:r w:rsidR="00E154A6">
        <w:rPr>
          <w:rFonts w:cs="Arial"/>
          <w:lang w:eastAsia="en-AU"/>
        </w:rPr>
        <w:t>he NSW</w:t>
      </w:r>
      <w:r w:rsidR="00C548FF">
        <w:rPr>
          <w:rFonts w:cs="Arial"/>
          <w:lang w:eastAsia="en-AU"/>
        </w:rPr>
        <w:t>LRC</w:t>
      </w:r>
      <w:r w:rsidR="00E154A6">
        <w:rPr>
          <w:rFonts w:cs="Arial"/>
          <w:lang w:eastAsia="en-AU"/>
        </w:rPr>
        <w:t xml:space="preserve"> concluded that much of the delay in the Local Court committal process “</w:t>
      </w:r>
      <w:r w:rsidR="00E154A6" w:rsidRPr="00990E71">
        <w:rPr>
          <w:rFonts w:cs="Arial"/>
          <w:lang w:eastAsia="en-AU"/>
        </w:rPr>
        <w:t>is attributable to delays in serving the brief of evidence.”</w:t>
      </w:r>
      <w:r w:rsidR="00E154A6" w:rsidRPr="00990E71">
        <w:rPr>
          <w:rStyle w:val="FootnoteReference"/>
          <w:rFonts w:cs="Arial"/>
          <w:lang w:eastAsia="en-AU"/>
        </w:rPr>
        <w:footnoteReference w:id="23"/>
      </w:r>
      <w:r w:rsidR="00E154A6" w:rsidRPr="00E44D59">
        <w:rPr>
          <w:rFonts w:cs="Arial"/>
          <w:lang w:eastAsia="en-AU"/>
        </w:rPr>
        <w:t xml:space="preserve"> </w:t>
      </w:r>
    </w:p>
    <w:p w14:paraId="2AF8CFE7" w14:textId="067BD79D" w:rsidR="00260BB6" w:rsidRPr="009230D4" w:rsidRDefault="001B2027" w:rsidP="00C03AD8">
      <w:pPr>
        <w:pStyle w:val="Heading3"/>
      </w:pPr>
      <w:bookmarkStart w:id="47" w:name="_Toc17050671"/>
      <w:bookmarkStart w:id="48" w:name="_Toc17155086"/>
      <w:r>
        <w:t xml:space="preserve">1. </w:t>
      </w:r>
      <w:r w:rsidR="00260BB6" w:rsidRPr="00470CED">
        <w:t xml:space="preserve">Standardised disclosure </w:t>
      </w:r>
      <w:r>
        <w:t xml:space="preserve">obligations </w:t>
      </w:r>
      <w:r w:rsidR="00260BB6" w:rsidRPr="00DF0C06">
        <w:t>across</w:t>
      </w:r>
      <w:r w:rsidR="00260BB6" w:rsidRPr="00470CED">
        <w:t xml:space="preserve"> all indictable matters</w:t>
      </w:r>
      <w:bookmarkEnd w:id="47"/>
      <w:bookmarkEnd w:id="48"/>
    </w:p>
    <w:p w14:paraId="71DC07C1" w14:textId="549BDA1A" w:rsidR="00CC6752" w:rsidRDefault="00CC6752" w:rsidP="00CC6752">
      <w:pPr>
        <w:pStyle w:val="VLADocumentText"/>
        <w:rPr>
          <w:lang w:eastAsia="en-AU"/>
        </w:rPr>
      </w:pPr>
      <w:r>
        <w:t xml:space="preserve">Setting </w:t>
      </w:r>
      <w:r w:rsidRPr="007616C4">
        <w:t xml:space="preserve">out a list of obligatory standard disclosure items, at the same time or shortly after providing the </w:t>
      </w:r>
      <w:r w:rsidRPr="007616C4">
        <w:rPr>
          <w:lang w:eastAsia="en-AU"/>
        </w:rPr>
        <w:t xml:space="preserve">hand-up brief, would facilitate the </w:t>
      </w:r>
      <w:r w:rsidR="00880701">
        <w:rPr>
          <w:lang w:eastAsia="en-AU"/>
        </w:rPr>
        <w:t>timely</w:t>
      </w:r>
      <w:r w:rsidR="00260BB6" w:rsidRPr="007616C4">
        <w:rPr>
          <w:lang w:eastAsia="en-AU"/>
        </w:rPr>
        <w:t xml:space="preserve"> </w:t>
      </w:r>
      <w:r w:rsidRPr="007616C4">
        <w:rPr>
          <w:lang w:eastAsia="en-AU"/>
        </w:rPr>
        <w:t xml:space="preserve">provision of essential information which is required to properly analyse a case. </w:t>
      </w:r>
    </w:p>
    <w:p w14:paraId="264CA4EA" w14:textId="06212D5A" w:rsidR="00260BB6" w:rsidRPr="007616C4" w:rsidRDefault="00260BB6" w:rsidP="00260BB6">
      <w:pPr>
        <w:pStyle w:val="VLADocumentText"/>
        <w:rPr>
          <w:lang w:eastAsia="en-AU"/>
        </w:rPr>
      </w:pPr>
      <w:r w:rsidRPr="007616C4">
        <w:t>Currently, parties prepare a Form 32 Case Direction Notice, which can include requests for outstanding evidence. To illustrate, a</w:t>
      </w:r>
      <w:r w:rsidRPr="007616C4">
        <w:rPr>
          <w:rFonts w:eastAsia="Arial"/>
        </w:rPr>
        <w:t xml:space="preserve"> deidentified Form 32 is provided at </w:t>
      </w:r>
      <w:r w:rsidRPr="003D4AF1">
        <w:rPr>
          <w:rFonts w:eastAsia="Arial"/>
          <w:b/>
        </w:rPr>
        <w:t>Appendix A</w:t>
      </w:r>
      <w:r w:rsidRPr="007616C4">
        <w:rPr>
          <w:rFonts w:eastAsia="Arial"/>
        </w:rPr>
        <w:t xml:space="preserve">. </w:t>
      </w:r>
      <w:r w:rsidRPr="007616C4">
        <w:rPr>
          <w:lang w:eastAsia="en-AU"/>
        </w:rPr>
        <w:t xml:space="preserve">Examples of the type of information requested are: </w:t>
      </w:r>
    </w:p>
    <w:p w14:paraId="655F703C" w14:textId="5C0D473F" w:rsidR="00260BB6" w:rsidRPr="007616C4" w:rsidRDefault="00260BB6" w:rsidP="00DB4763">
      <w:pPr>
        <w:pStyle w:val="VLADocumentText"/>
        <w:numPr>
          <w:ilvl w:val="0"/>
          <w:numId w:val="20"/>
        </w:numPr>
        <w:spacing w:before="40"/>
        <w:ind w:left="714" w:hanging="357"/>
        <w:rPr>
          <w:lang w:eastAsia="en-AU"/>
        </w:rPr>
      </w:pPr>
      <w:r w:rsidRPr="007616C4">
        <w:rPr>
          <w:lang w:eastAsia="en-AU"/>
        </w:rPr>
        <w:t>LEAP and INTERPOSE documents, and entries relating to this investigation</w:t>
      </w:r>
      <w:r w:rsidR="00EF62C3">
        <w:rPr>
          <w:lang w:eastAsia="en-AU"/>
        </w:rPr>
        <w:t>;</w:t>
      </w:r>
    </w:p>
    <w:p w14:paraId="196195BA" w14:textId="0473308E" w:rsidR="00260BB6" w:rsidRPr="007616C4" w:rsidRDefault="00260BB6" w:rsidP="00DB4763">
      <w:pPr>
        <w:pStyle w:val="VLADocumentText"/>
        <w:numPr>
          <w:ilvl w:val="0"/>
          <w:numId w:val="20"/>
        </w:numPr>
        <w:spacing w:before="40"/>
        <w:ind w:left="714" w:hanging="357"/>
        <w:rPr>
          <w:lang w:eastAsia="en-AU"/>
        </w:rPr>
      </w:pPr>
      <w:r w:rsidRPr="007616C4">
        <w:rPr>
          <w:lang w:eastAsia="en-AU"/>
        </w:rPr>
        <w:t>prior convictions of prosecution witnesses (except sworn officers)</w:t>
      </w:r>
      <w:r w:rsidR="00EF62C3">
        <w:rPr>
          <w:lang w:eastAsia="en-AU"/>
        </w:rPr>
        <w:t>;</w:t>
      </w:r>
    </w:p>
    <w:p w14:paraId="4FB9B193" w14:textId="5FFCD65D" w:rsidR="00260BB6" w:rsidRPr="007616C4" w:rsidRDefault="00260BB6" w:rsidP="00DB4763">
      <w:pPr>
        <w:pStyle w:val="VLADocumentText"/>
        <w:numPr>
          <w:ilvl w:val="0"/>
          <w:numId w:val="20"/>
        </w:numPr>
        <w:spacing w:before="40"/>
        <w:ind w:left="714" w:hanging="357"/>
        <w:rPr>
          <w:lang w:eastAsia="en-AU"/>
        </w:rPr>
      </w:pPr>
      <w:r w:rsidRPr="007616C4">
        <w:rPr>
          <w:lang w:eastAsia="en-AU"/>
        </w:rPr>
        <w:t>witness statements taken as part of th</w:t>
      </w:r>
      <w:r w:rsidR="00641D52">
        <w:rPr>
          <w:lang w:eastAsia="en-AU"/>
        </w:rPr>
        <w:t>e</w:t>
      </w:r>
      <w:r w:rsidRPr="007616C4">
        <w:rPr>
          <w:lang w:eastAsia="en-AU"/>
        </w:rPr>
        <w:t xml:space="preserve"> investigation </w:t>
      </w:r>
      <w:r w:rsidR="00641D52">
        <w:rPr>
          <w:lang w:eastAsia="en-AU"/>
        </w:rPr>
        <w:t>(</w:t>
      </w:r>
      <w:r w:rsidRPr="007616C4">
        <w:rPr>
          <w:lang w:eastAsia="en-AU"/>
        </w:rPr>
        <w:t>but not included in the hand-up brief</w:t>
      </w:r>
      <w:r w:rsidR="00641D52">
        <w:rPr>
          <w:lang w:eastAsia="en-AU"/>
        </w:rPr>
        <w:t>)</w:t>
      </w:r>
      <w:r w:rsidR="00EF62C3">
        <w:rPr>
          <w:lang w:eastAsia="en-AU"/>
        </w:rPr>
        <w:t>;</w:t>
      </w:r>
    </w:p>
    <w:p w14:paraId="21DE264D" w14:textId="597902C5" w:rsidR="00260BB6" w:rsidRPr="007616C4" w:rsidRDefault="00260BB6" w:rsidP="00DB4763">
      <w:pPr>
        <w:pStyle w:val="VLADocumentText"/>
        <w:numPr>
          <w:ilvl w:val="0"/>
          <w:numId w:val="20"/>
        </w:numPr>
        <w:spacing w:before="40"/>
        <w:ind w:left="714" w:hanging="357"/>
        <w:rPr>
          <w:lang w:eastAsia="en-AU"/>
        </w:rPr>
      </w:pPr>
      <w:r w:rsidRPr="007616C4">
        <w:rPr>
          <w:lang w:eastAsia="en-AU"/>
        </w:rPr>
        <w:t>diary notes or entries made by any witnesses which relate to their evidence</w:t>
      </w:r>
      <w:r w:rsidR="00EF62C3">
        <w:rPr>
          <w:lang w:eastAsia="en-AU"/>
        </w:rPr>
        <w:t>;</w:t>
      </w:r>
    </w:p>
    <w:p w14:paraId="62701FE7" w14:textId="4FE459B7" w:rsidR="00260BB6" w:rsidRPr="007616C4" w:rsidRDefault="00260BB6" w:rsidP="00DB4763">
      <w:pPr>
        <w:pStyle w:val="VLADocumentText"/>
        <w:numPr>
          <w:ilvl w:val="0"/>
          <w:numId w:val="20"/>
        </w:numPr>
        <w:spacing w:before="40"/>
        <w:ind w:left="714" w:hanging="357"/>
        <w:rPr>
          <w:lang w:eastAsia="en-AU"/>
        </w:rPr>
      </w:pPr>
      <w:r w:rsidRPr="007616C4">
        <w:rPr>
          <w:lang w:eastAsia="en-AU"/>
        </w:rPr>
        <w:t>all notes, test results, and reports of all doctors, forensic medical examiners, scientists or other experts who have conducted tests, investigations or examinations on behalf of the prosecution as part of this investigation</w:t>
      </w:r>
      <w:r w:rsidR="002B5C91">
        <w:rPr>
          <w:lang w:eastAsia="en-AU"/>
        </w:rPr>
        <w:t xml:space="preserve"> (</w:t>
      </w:r>
      <w:r w:rsidR="002B5C91" w:rsidRPr="007616C4">
        <w:rPr>
          <w:lang w:eastAsia="en-AU"/>
        </w:rPr>
        <w:t>but not provided in the hand-up brief</w:t>
      </w:r>
      <w:r w:rsidR="002B5C91" w:rsidRPr="002B5C91">
        <w:rPr>
          <w:lang w:eastAsia="en-AU"/>
        </w:rPr>
        <w:t>)</w:t>
      </w:r>
      <w:r w:rsidR="00EF62C3">
        <w:rPr>
          <w:lang w:eastAsia="en-AU"/>
        </w:rPr>
        <w:t>;</w:t>
      </w:r>
    </w:p>
    <w:p w14:paraId="0284C926" w14:textId="01B89078" w:rsidR="00260BB6" w:rsidRPr="007616C4" w:rsidRDefault="00260BB6" w:rsidP="00DB4763">
      <w:pPr>
        <w:pStyle w:val="VLADocumentText"/>
        <w:numPr>
          <w:ilvl w:val="0"/>
          <w:numId w:val="20"/>
        </w:numPr>
        <w:spacing w:before="40"/>
        <w:ind w:left="714" w:hanging="357"/>
        <w:rPr>
          <w:lang w:eastAsia="en-AU"/>
        </w:rPr>
      </w:pPr>
      <w:r w:rsidRPr="007616C4">
        <w:rPr>
          <w:lang w:eastAsia="en-AU"/>
        </w:rPr>
        <w:t xml:space="preserve">photographs taken, maps or charts prepared as part of this investigation, including those relating to the crime scene </w:t>
      </w:r>
      <w:r w:rsidR="002B5C91">
        <w:rPr>
          <w:lang w:eastAsia="en-AU"/>
        </w:rPr>
        <w:t>(</w:t>
      </w:r>
      <w:r w:rsidRPr="007616C4">
        <w:rPr>
          <w:lang w:eastAsia="en-AU"/>
        </w:rPr>
        <w:t>but not provided in the hand-up brief</w:t>
      </w:r>
      <w:r w:rsidR="002B5C91">
        <w:rPr>
          <w:lang w:eastAsia="en-AU"/>
        </w:rPr>
        <w:t>)</w:t>
      </w:r>
      <w:r w:rsidR="00EF62C3">
        <w:rPr>
          <w:lang w:eastAsia="en-AU"/>
        </w:rPr>
        <w:t>;</w:t>
      </w:r>
    </w:p>
    <w:p w14:paraId="13CEAF54" w14:textId="0D46C055" w:rsidR="00260BB6" w:rsidRPr="007616C4" w:rsidRDefault="00260BB6" w:rsidP="00DB4763">
      <w:pPr>
        <w:pStyle w:val="VLADocumentText"/>
        <w:numPr>
          <w:ilvl w:val="0"/>
          <w:numId w:val="20"/>
        </w:numPr>
        <w:spacing w:before="40"/>
        <w:ind w:left="714" w:hanging="357"/>
        <w:rPr>
          <w:lang w:eastAsia="en-AU"/>
        </w:rPr>
      </w:pPr>
      <w:r w:rsidRPr="007616C4">
        <w:rPr>
          <w:lang w:eastAsia="en-AU"/>
        </w:rPr>
        <w:t>call charge records relating to telephone service monitored as part of th</w:t>
      </w:r>
      <w:r w:rsidR="00641D52">
        <w:rPr>
          <w:lang w:eastAsia="en-AU"/>
        </w:rPr>
        <w:t>e</w:t>
      </w:r>
      <w:r w:rsidRPr="007616C4">
        <w:rPr>
          <w:lang w:eastAsia="en-AU"/>
        </w:rPr>
        <w:t xml:space="preserve"> investigation, including any reverse call charge records.</w:t>
      </w:r>
    </w:p>
    <w:p w14:paraId="7B28D439" w14:textId="56C9F0A7" w:rsidR="00260BB6" w:rsidRDefault="00260BB6" w:rsidP="00260BB6">
      <w:pPr>
        <w:pStyle w:val="VLADocumentText"/>
      </w:pPr>
      <w:r w:rsidRPr="007616C4">
        <w:t xml:space="preserve">Many of these items are requested as a matter of course, and </w:t>
      </w:r>
      <w:r w:rsidR="00880701">
        <w:t xml:space="preserve">are </w:t>
      </w:r>
      <w:r w:rsidR="00641D52">
        <w:t>generally</w:t>
      </w:r>
      <w:r w:rsidRPr="007616C4">
        <w:t xml:space="preserve"> provided</w:t>
      </w:r>
      <w:r w:rsidR="0027792D">
        <w:t>.</w:t>
      </w:r>
      <w:r w:rsidRPr="007616C4">
        <w:t xml:space="preserve"> </w:t>
      </w:r>
      <w:r w:rsidR="00331F82">
        <w:t>Yet i</w:t>
      </w:r>
      <w:r w:rsidR="0027792D">
        <w:t xml:space="preserve">n many of these cases they are not provided </w:t>
      </w:r>
      <w:r w:rsidRPr="007616C4">
        <w:t>until the committal proceedings are well advanced. Providing this information at the earliest opportunity would facilitate pre-hearing negotiations and early resolution.</w:t>
      </w:r>
      <w:r>
        <w:t xml:space="preserve"> </w:t>
      </w:r>
    </w:p>
    <w:p w14:paraId="5D427E42" w14:textId="18D9AA47" w:rsidR="00E91C98" w:rsidRDefault="00B56F82" w:rsidP="004C1452">
      <w:pPr>
        <w:pStyle w:val="VLADocumentText"/>
        <w:rPr>
          <w:rFonts w:cstheme="minorHAnsi"/>
          <w:lang w:eastAsia="en-AU"/>
        </w:rPr>
      </w:pPr>
      <w:r>
        <w:t>S</w:t>
      </w:r>
      <w:r w:rsidR="006E0B3D">
        <w:t xml:space="preserve">ection 123 of the </w:t>
      </w:r>
      <w:r w:rsidR="006E0B3D" w:rsidRPr="00646226">
        <w:t>Criminal Procedure Act</w:t>
      </w:r>
      <w:r w:rsidR="006E0B3D">
        <w:t xml:space="preserve"> </w:t>
      </w:r>
      <w:r w:rsidR="00B77515">
        <w:t xml:space="preserve">was </w:t>
      </w:r>
      <w:r>
        <w:t xml:space="preserve">recently </w:t>
      </w:r>
      <w:r w:rsidR="00B77515">
        <w:t xml:space="preserve">expanded to </w:t>
      </w:r>
      <w:r w:rsidR="006E0B3D">
        <w:t>preclud</w:t>
      </w:r>
      <w:r w:rsidR="00B77515">
        <w:t>e</w:t>
      </w:r>
      <w:r w:rsidR="006E0B3D">
        <w:t xml:space="preserve"> cross-examination </w:t>
      </w:r>
      <w:r w:rsidR="008901DB">
        <w:t>at a committal proceeding</w:t>
      </w:r>
      <w:r w:rsidR="00CD46D1">
        <w:t xml:space="preserve"> of</w:t>
      </w:r>
      <w:r w:rsidR="008901DB">
        <w:t xml:space="preserve"> </w:t>
      </w:r>
      <w:r w:rsidR="00B77515">
        <w:t>all witnesses in sex cases involving a child or cogn</w:t>
      </w:r>
      <w:r w:rsidR="00935A2D">
        <w:t>i</w:t>
      </w:r>
      <w:r w:rsidR="00B77515">
        <w:t>tiv</w:t>
      </w:r>
      <w:r w:rsidR="00935A2D">
        <w:t>e</w:t>
      </w:r>
      <w:r w:rsidR="00B77515">
        <w:t>ly impaired co</w:t>
      </w:r>
      <w:r w:rsidR="005A6605">
        <w:t xml:space="preserve">mplainant. </w:t>
      </w:r>
      <w:r w:rsidR="008B3D09">
        <w:t>A</w:t>
      </w:r>
      <w:r w:rsidR="00334220">
        <w:t xml:space="preserve"> </w:t>
      </w:r>
      <w:r w:rsidR="005A6605">
        <w:t xml:space="preserve">new </w:t>
      </w:r>
      <w:r w:rsidR="00841503">
        <w:t xml:space="preserve">Form </w:t>
      </w:r>
      <w:r w:rsidR="00841503" w:rsidRPr="00B60E47">
        <w:t>32A</w:t>
      </w:r>
      <w:r w:rsidR="00841503">
        <w:t xml:space="preserve"> </w:t>
      </w:r>
      <w:r w:rsidR="00EC11BE">
        <w:t xml:space="preserve">has been introduced </w:t>
      </w:r>
      <w:r w:rsidR="00FB4D4D">
        <w:t>for these cases</w:t>
      </w:r>
      <w:r w:rsidR="008B3D09">
        <w:t>,</w:t>
      </w:r>
      <w:r w:rsidR="00841503">
        <w:t xml:space="preserve"> </w:t>
      </w:r>
      <w:r w:rsidR="00C61FFB">
        <w:t xml:space="preserve">which </w:t>
      </w:r>
      <w:r w:rsidR="00260BB6">
        <w:lastRenderedPageBreak/>
        <w:t>includes explicit and detailed disclosure requirements</w:t>
      </w:r>
      <w:r w:rsidR="001B568B">
        <w:t xml:space="preserve"> to be served at the same time as the hand</w:t>
      </w:r>
      <w:r w:rsidR="000F2C2B">
        <w:t>-</w:t>
      </w:r>
      <w:r w:rsidR="001B568B">
        <w:t>up brief</w:t>
      </w:r>
      <w:r w:rsidR="00BC6AFB">
        <w:t>.</w:t>
      </w:r>
      <w:r w:rsidR="00935A2D">
        <w:rPr>
          <w:rStyle w:val="FootnoteReference"/>
        </w:rPr>
        <w:footnoteReference w:id="24"/>
      </w:r>
      <w:r w:rsidR="00BC6AFB">
        <w:t xml:space="preserve"> </w:t>
      </w:r>
      <w:r w:rsidR="00260BB6" w:rsidRPr="00F73B4C">
        <w:rPr>
          <w:rFonts w:cstheme="minorBidi"/>
          <w:lang w:eastAsia="en-AU"/>
        </w:rPr>
        <w:t>Th</w:t>
      </w:r>
      <w:r w:rsidR="00260BB6" w:rsidRPr="00F70760">
        <w:rPr>
          <w:rFonts w:cstheme="minorBidi"/>
          <w:lang w:eastAsia="en-AU"/>
        </w:rPr>
        <w:t>is</w:t>
      </w:r>
      <w:r w:rsidR="00260BB6" w:rsidRPr="00141791">
        <w:rPr>
          <w:rFonts w:cstheme="minorBidi"/>
          <w:lang w:eastAsia="en-AU"/>
        </w:rPr>
        <w:t xml:space="preserve"> new standard disclosure format </w:t>
      </w:r>
      <w:r w:rsidR="00FF021C" w:rsidRPr="00F73B4C">
        <w:rPr>
          <w:rFonts w:cstheme="minorBidi"/>
          <w:lang w:eastAsia="en-AU"/>
        </w:rPr>
        <w:t>is intended to mitigate against delay</w:t>
      </w:r>
      <w:r w:rsidR="00FF021C" w:rsidRPr="00F70760">
        <w:rPr>
          <w:rFonts w:cstheme="minorBidi"/>
          <w:lang w:eastAsia="en-AU"/>
        </w:rPr>
        <w:t xml:space="preserve">ed </w:t>
      </w:r>
      <w:r w:rsidR="00FF021C" w:rsidRPr="00141791">
        <w:rPr>
          <w:rFonts w:cstheme="minorBidi"/>
          <w:lang w:eastAsia="en-AU"/>
        </w:rPr>
        <w:t>disclosure in these cases</w:t>
      </w:r>
      <w:r w:rsidR="008B3D09">
        <w:rPr>
          <w:rFonts w:cstheme="minorBidi"/>
          <w:lang w:eastAsia="en-AU"/>
        </w:rPr>
        <w:t>.</w:t>
      </w:r>
      <w:r w:rsidR="00FF021C" w:rsidRPr="00B17060">
        <w:rPr>
          <w:rFonts w:cstheme="minorBidi"/>
          <w:lang w:eastAsia="en-AU"/>
        </w:rPr>
        <w:t xml:space="preserve"> </w:t>
      </w:r>
      <w:r w:rsidR="008B3D09">
        <w:rPr>
          <w:rFonts w:cstheme="minorBidi"/>
          <w:lang w:eastAsia="en-AU"/>
        </w:rPr>
        <w:t>O</w:t>
      </w:r>
      <w:r w:rsidR="00331F82">
        <w:rPr>
          <w:rFonts w:cstheme="minorBidi"/>
          <w:lang w:eastAsia="en-AU"/>
        </w:rPr>
        <w:t xml:space="preserve">ur position is </w:t>
      </w:r>
      <w:r w:rsidR="008304B2" w:rsidRPr="00F629C4">
        <w:rPr>
          <w:rFonts w:cstheme="minorBidi"/>
          <w:lang w:eastAsia="en-AU"/>
        </w:rPr>
        <w:t xml:space="preserve">that this </w:t>
      </w:r>
      <w:r w:rsidR="009B008C">
        <w:rPr>
          <w:rFonts w:cstheme="minorBidi"/>
          <w:lang w:eastAsia="en-AU"/>
        </w:rPr>
        <w:t xml:space="preserve">level of disclosure should be </w:t>
      </w:r>
      <w:r w:rsidR="008304B2" w:rsidRPr="00F629C4">
        <w:rPr>
          <w:rFonts w:cstheme="minorBidi"/>
          <w:lang w:eastAsia="en-AU"/>
        </w:rPr>
        <w:t>require</w:t>
      </w:r>
      <w:r w:rsidR="009B008C">
        <w:rPr>
          <w:rFonts w:cstheme="minorBidi"/>
          <w:lang w:eastAsia="en-AU"/>
        </w:rPr>
        <w:t>d</w:t>
      </w:r>
      <w:r w:rsidR="00260BB6" w:rsidRPr="00F629C4">
        <w:rPr>
          <w:rFonts w:cstheme="minorBidi"/>
          <w:lang w:eastAsia="en-AU"/>
        </w:rPr>
        <w:t xml:space="preserve"> </w:t>
      </w:r>
      <w:r w:rsidR="009B008C">
        <w:rPr>
          <w:rFonts w:cstheme="minorBidi"/>
          <w:lang w:eastAsia="en-AU"/>
        </w:rPr>
        <w:t xml:space="preserve">in </w:t>
      </w:r>
      <w:r w:rsidR="00260BB6" w:rsidRPr="00F629C4">
        <w:rPr>
          <w:rFonts w:cstheme="minorBidi"/>
          <w:lang w:eastAsia="en-AU"/>
        </w:rPr>
        <w:t>all indictable matters</w:t>
      </w:r>
      <w:r w:rsidR="004C1452">
        <w:rPr>
          <w:lang w:eastAsia="en-AU"/>
        </w:rPr>
        <w:t>,</w:t>
      </w:r>
      <w:r w:rsidR="00E91C98">
        <w:rPr>
          <w:lang w:eastAsia="en-AU"/>
        </w:rPr>
        <w:t xml:space="preserve"> at the earliest appropriate stage</w:t>
      </w:r>
      <w:r w:rsidR="00E91C98" w:rsidRPr="002C7BA7">
        <w:rPr>
          <w:lang w:eastAsia="en-AU"/>
        </w:rPr>
        <w:t>.</w:t>
      </w:r>
    </w:p>
    <w:p w14:paraId="2565312C" w14:textId="79EB8E4C" w:rsidR="00260BB6" w:rsidRDefault="001B2027" w:rsidP="0090797E">
      <w:pPr>
        <w:pStyle w:val="Heading3"/>
      </w:pPr>
      <w:bookmarkStart w:id="49" w:name="_Toc17050672"/>
      <w:bookmarkStart w:id="50" w:name="_Toc17155087"/>
      <w:r>
        <w:t xml:space="preserve">2. </w:t>
      </w:r>
      <w:r w:rsidR="001264E3">
        <w:t xml:space="preserve">Prosecution </w:t>
      </w:r>
      <w:r w:rsidR="00260BB6" w:rsidRPr="00470CED">
        <w:t>review</w:t>
      </w:r>
      <w:r w:rsidR="00746CD8">
        <w:t>,</w:t>
      </w:r>
      <w:r w:rsidR="00260BB6" w:rsidRPr="00470CED">
        <w:t xml:space="preserve"> </w:t>
      </w:r>
      <w:r w:rsidR="00260BB6">
        <w:t>supervision</w:t>
      </w:r>
      <w:r w:rsidR="00260BB6" w:rsidRPr="00470CED">
        <w:t xml:space="preserve"> </w:t>
      </w:r>
      <w:r w:rsidR="00746CD8">
        <w:t>and certification</w:t>
      </w:r>
      <w:r w:rsidR="00746CD8" w:rsidRPr="00470CED">
        <w:t xml:space="preserve"> </w:t>
      </w:r>
      <w:r w:rsidR="00260BB6" w:rsidRPr="00470CED">
        <w:t xml:space="preserve">of </w:t>
      </w:r>
      <w:r w:rsidR="00260BB6" w:rsidRPr="00B60E47">
        <w:t>disclosure</w:t>
      </w:r>
      <w:bookmarkEnd w:id="49"/>
      <w:bookmarkEnd w:id="50"/>
      <w:r w:rsidR="001264E3">
        <w:t xml:space="preserve"> </w:t>
      </w:r>
    </w:p>
    <w:p w14:paraId="0E87416A" w14:textId="33FEC011" w:rsidR="0067087D" w:rsidRPr="003D4AF1" w:rsidRDefault="004E13EA" w:rsidP="0067087D">
      <w:pPr>
        <w:pStyle w:val="VLADocumentText"/>
      </w:pPr>
      <w:r>
        <w:t>In</w:t>
      </w:r>
      <w:r w:rsidR="006508F3">
        <w:t xml:space="preserve"> our</w:t>
      </w:r>
      <w:r>
        <w:t xml:space="preserve"> response to </w:t>
      </w:r>
      <w:r w:rsidR="0085392E" w:rsidRPr="0085392E">
        <w:rPr>
          <w:b/>
        </w:rPr>
        <w:t>Q</w:t>
      </w:r>
      <w:r w:rsidRPr="0085392E">
        <w:rPr>
          <w:b/>
        </w:rPr>
        <w:t>uestion 3</w:t>
      </w:r>
      <w:r>
        <w:t xml:space="preserve">, </w:t>
      </w:r>
      <w:r w:rsidR="00825254">
        <w:t xml:space="preserve">VLA </w:t>
      </w:r>
      <w:r w:rsidR="00841503">
        <w:t>recommend</w:t>
      </w:r>
      <w:r w:rsidR="00A8535F">
        <w:t>s</w:t>
      </w:r>
      <w:r w:rsidR="00841503">
        <w:t xml:space="preserve"> that the prosecuting agency should oversee the charges and the preparation of the hand-up brief</w:t>
      </w:r>
      <w:r w:rsidR="006508F3">
        <w:t>,</w:t>
      </w:r>
      <w:r w:rsidR="00841503">
        <w:t xml:space="preserve"> </w:t>
      </w:r>
      <w:r>
        <w:t xml:space="preserve">to </w:t>
      </w:r>
      <w:r w:rsidR="00841503">
        <w:t>improv</w:t>
      </w:r>
      <w:r w:rsidR="006508F3">
        <w:t>e</w:t>
      </w:r>
      <w:r w:rsidR="00841503">
        <w:t xml:space="preserve"> the appropriateness of the charges filed</w:t>
      </w:r>
      <w:r>
        <w:t xml:space="preserve"> and address overcharging</w:t>
      </w:r>
      <w:r w:rsidR="00841503">
        <w:t xml:space="preserve">. </w:t>
      </w:r>
      <w:r w:rsidR="00170AD4">
        <w:rPr>
          <w:lang w:eastAsia="en-AU"/>
        </w:rPr>
        <w:t>Similarly, a</w:t>
      </w:r>
      <w:r w:rsidR="009A2E98">
        <w:rPr>
          <w:lang w:eastAsia="en-AU"/>
        </w:rPr>
        <w:t xml:space="preserve">n </w:t>
      </w:r>
      <w:r w:rsidR="00E91C98">
        <w:rPr>
          <w:lang w:eastAsia="en-AU"/>
        </w:rPr>
        <w:t xml:space="preserve">additional requirement </w:t>
      </w:r>
      <w:r w:rsidR="00170AD4">
        <w:rPr>
          <w:lang w:eastAsia="en-AU"/>
        </w:rPr>
        <w:t xml:space="preserve">for </w:t>
      </w:r>
      <w:r w:rsidR="009A2E98">
        <w:rPr>
          <w:lang w:eastAsia="en-AU"/>
        </w:rPr>
        <w:t xml:space="preserve">the </w:t>
      </w:r>
      <w:r w:rsidR="00E91C98">
        <w:rPr>
          <w:lang w:eastAsia="en-AU"/>
        </w:rPr>
        <w:t xml:space="preserve">prosecution </w:t>
      </w:r>
      <w:r w:rsidR="00170AD4">
        <w:rPr>
          <w:lang w:eastAsia="en-AU"/>
        </w:rPr>
        <w:t xml:space="preserve">to </w:t>
      </w:r>
      <w:r w:rsidR="00E91C98">
        <w:rPr>
          <w:lang w:eastAsia="en-AU"/>
        </w:rPr>
        <w:t xml:space="preserve">certify that </w:t>
      </w:r>
      <w:r w:rsidR="00E91C98" w:rsidRPr="00F414F1">
        <w:rPr>
          <w:lang w:eastAsia="en-AU"/>
        </w:rPr>
        <w:t>disclosure</w:t>
      </w:r>
      <w:r w:rsidR="007F1DE7">
        <w:rPr>
          <w:lang w:eastAsia="en-AU"/>
        </w:rPr>
        <w:t xml:space="preserve"> requirements have been satisfied</w:t>
      </w:r>
      <w:r w:rsidR="00504011">
        <w:rPr>
          <w:lang w:eastAsia="en-AU"/>
        </w:rPr>
        <w:t>, would improve disclosure</w:t>
      </w:r>
      <w:r w:rsidR="00E91C98">
        <w:rPr>
          <w:lang w:eastAsia="en-AU"/>
        </w:rPr>
        <w:t>.</w:t>
      </w:r>
      <w:r w:rsidR="00E91C98" w:rsidRPr="00E91C98">
        <w:rPr>
          <w:lang w:eastAsia="en-AU"/>
        </w:rPr>
        <w:t xml:space="preserve"> </w:t>
      </w:r>
      <w:r w:rsidR="00504011">
        <w:rPr>
          <w:lang w:eastAsia="en-AU"/>
        </w:rPr>
        <w:t>T</w:t>
      </w:r>
      <w:r w:rsidR="007F1DE7">
        <w:rPr>
          <w:lang w:eastAsia="en-AU"/>
        </w:rPr>
        <w:t>his</w:t>
      </w:r>
      <w:r w:rsidR="00E91C98">
        <w:rPr>
          <w:lang w:eastAsia="en-AU"/>
        </w:rPr>
        <w:t xml:space="preserve"> certificate should </w:t>
      </w:r>
      <w:r w:rsidR="00E91C98" w:rsidRPr="00F414F1">
        <w:rPr>
          <w:lang w:eastAsia="en-AU"/>
        </w:rPr>
        <w:t xml:space="preserve">indicate to the </w:t>
      </w:r>
      <w:r w:rsidR="00E91C98">
        <w:rPr>
          <w:lang w:eastAsia="en-AU"/>
        </w:rPr>
        <w:t>c</w:t>
      </w:r>
      <w:r w:rsidR="00E91C98" w:rsidRPr="00F414F1">
        <w:rPr>
          <w:lang w:eastAsia="en-AU"/>
        </w:rPr>
        <w:t xml:space="preserve">ourt </w:t>
      </w:r>
      <w:r w:rsidR="00E91C98">
        <w:rPr>
          <w:lang w:eastAsia="en-AU"/>
        </w:rPr>
        <w:t xml:space="preserve">and defence </w:t>
      </w:r>
      <w:r w:rsidR="00E91C98" w:rsidRPr="00F414F1">
        <w:rPr>
          <w:lang w:eastAsia="en-AU"/>
        </w:rPr>
        <w:t xml:space="preserve">that full and proper disclosure has been made of </w:t>
      </w:r>
      <w:r w:rsidR="00642981">
        <w:rPr>
          <w:lang w:eastAsia="en-AU"/>
        </w:rPr>
        <w:t>all the evidence</w:t>
      </w:r>
      <w:r w:rsidR="00642981" w:rsidRPr="00F414F1">
        <w:rPr>
          <w:lang w:eastAsia="en-AU"/>
        </w:rPr>
        <w:t xml:space="preserve"> </w:t>
      </w:r>
      <w:r w:rsidR="00E91C98" w:rsidRPr="00F414F1">
        <w:rPr>
          <w:lang w:eastAsia="en-AU"/>
        </w:rPr>
        <w:t>currently available</w:t>
      </w:r>
      <w:r w:rsidR="00E91C98">
        <w:rPr>
          <w:lang w:eastAsia="en-AU"/>
        </w:rPr>
        <w:t>,</w:t>
      </w:r>
      <w:r w:rsidR="00E91C98" w:rsidRPr="00F414F1">
        <w:rPr>
          <w:lang w:eastAsia="en-AU"/>
        </w:rPr>
        <w:t xml:space="preserve"> and detail outstanding investigations</w:t>
      </w:r>
      <w:r w:rsidR="00E91C98">
        <w:rPr>
          <w:lang w:eastAsia="en-AU"/>
        </w:rPr>
        <w:t xml:space="preserve"> and</w:t>
      </w:r>
      <w:r w:rsidR="00E91C98" w:rsidRPr="00F414F1">
        <w:rPr>
          <w:lang w:eastAsia="en-AU"/>
        </w:rPr>
        <w:t xml:space="preserve"> procedures that the prosecution intends to carry out</w:t>
      </w:r>
      <w:r w:rsidR="00E91C98">
        <w:rPr>
          <w:lang w:eastAsia="en-AU"/>
        </w:rPr>
        <w:t>.</w:t>
      </w:r>
      <w:r w:rsidR="009F0D98">
        <w:rPr>
          <w:lang w:eastAsia="en-AU"/>
        </w:rPr>
        <w:t xml:space="preserve"> </w:t>
      </w:r>
    </w:p>
    <w:p w14:paraId="3643E688" w14:textId="397C148F" w:rsidR="00B21DD9" w:rsidRDefault="0001727E" w:rsidP="00260BB6">
      <w:pPr>
        <w:pStyle w:val="VLADocumentText"/>
      </w:pPr>
      <w:r>
        <w:rPr>
          <w:rFonts w:eastAsia="Arial" w:cs="Arial"/>
        </w:rPr>
        <w:t>This certification could be incorporated into a standard disclosure form which mirrors t</w:t>
      </w:r>
      <w:r w:rsidR="197A3C17" w:rsidRPr="00A8535F">
        <w:rPr>
          <w:rFonts w:eastAsia="Arial" w:cs="Arial"/>
        </w:rPr>
        <w:t>he</w:t>
      </w:r>
      <w:r w:rsidR="197A3C17" w:rsidRPr="003D4AF1">
        <w:rPr>
          <w:rFonts w:eastAsia="Arial"/>
        </w:rPr>
        <w:t xml:space="preserve"> new Form 32A. This level of supervision over disclosure processes in all committal proceedings would significantly address current issues with the timeliness and completeness of disclosure</w:t>
      </w:r>
      <w:r w:rsidR="009F0D98">
        <w:rPr>
          <w:rFonts w:eastAsia="Arial" w:cs="Arial"/>
        </w:rPr>
        <w:t>.</w:t>
      </w:r>
    </w:p>
    <w:p w14:paraId="466177D0" w14:textId="55DFC650" w:rsidR="003C5765" w:rsidRPr="00B60E47" w:rsidRDefault="008B0AB5" w:rsidP="003C5765">
      <w:pPr>
        <w:pStyle w:val="Heading3"/>
      </w:pPr>
      <w:bookmarkStart w:id="51" w:name="_Toc17050673"/>
      <w:bookmarkStart w:id="52" w:name="_Toc17155088"/>
      <w:r>
        <w:t>3</w:t>
      </w:r>
      <w:r w:rsidR="003C5765">
        <w:t xml:space="preserve">. Early </w:t>
      </w:r>
      <w:r w:rsidR="00715A82">
        <w:t>disclosure</w:t>
      </w:r>
      <w:r w:rsidR="003C5765">
        <w:t xml:space="preserve"> conferencing with all parties to improve c</w:t>
      </w:r>
      <w:r w:rsidR="003C5765" w:rsidRPr="00B60E47">
        <w:t xml:space="preserve">ommunication </w:t>
      </w:r>
      <w:r w:rsidR="003C5765">
        <w:t>and engagement</w:t>
      </w:r>
      <w:bookmarkEnd w:id="51"/>
      <w:bookmarkEnd w:id="52"/>
    </w:p>
    <w:p w14:paraId="476858BB" w14:textId="77777777" w:rsidR="00715A82" w:rsidRDefault="00EC1885" w:rsidP="003C5765">
      <w:pPr>
        <w:pStyle w:val="VLADocumentText"/>
        <w:rPr>
          <w:rFonts w:cs="Arial"/>
        </w:rPr>
      </w:pPr>
      <w:r w:rsidRPr="00F16DF7">
        <w:rPr>
          <w:rFonts w:cs="Arial"/>
        </w:rPr>
        <w:t xml:space="preserve">A key feature of </w:t>
      </w:r>
      <w:r>
        <w:rPr>
          <w:rFonts w:cs="Arial"/>
        </w:rPr>
        <w:t xml:space="preserve">the majority </w:t>
      </w:r>
      <w:r w:rsidRPr="00F16DF7">
        <w:rPr>
          <w:rFonts w:cs="Arial"/>
        </w:rPr>
        <w:t xml:space="preserve">of </w:t>
      </w:r>
      <w:r>
        <w:rPr>
          <w:rFonts w:cs="Arial"/>
        </w:rPr>
        <w:t xml:space="preserve">committals </w:t>
      </w:r>
      <w:r w:rsidRPr="00F16DF7">
        <w:rPr>
          <w:rFonts w:cs="Arial"/>
        </w:rPr>
        <w:t xml:space="preserve">reviews </w:t>
      </w:r>
      <w:r>
        <w:rPr>
          <w:rFonts w:cs="Arial"/>
        </w:rPr>
        <w:t xml:space="preserve">in Victoria and interstate, </w:t>
      </w:r>
      <w:r w:rsidRPr="00F16DF7">
        <w:rPr>
          <w:rFonts w:cs="Arial"/>
        </w:rPr>
        <w:t xml:space="preserve">has been their conclusion that early preparation and discussion between the parties is essential for </w:t>
      </w:r>
      <w:r>
        <w:rPr>
          <w:rFonts w:cs="Arial"/>
        </w:rPr>
        <w:t xml:space="preserve">a </w:t>
      </w:r>
      <w:r w:rsidRPr="00F16DF7">
        <w:rPr>
          <w:rFonts w:cs="Arial"/>
        </w:rPr>
        <w:t>committal system to function well.</w:t>
      </w:r>
      <w:bookmarkStart w:id="53" w:name="_Ref17119758"/>
      <w:r>
        <w:rPr>
          <w:rStyle w:val="FootnoteReference"/>
          <w:rFonts w:cs="Arial"/>
        </w:rPr>
        <w:footnoteReference w:id="25"/>
      </w:r>
      <w:bookmarkEnd w:id="53"/>
      <w:r>
        <w:rPr>
          <w:rFonts w:cs="Arial"/>
        </w:rPr>
        <w:t xml:space="preserve"> </w:t>
      </w:r>
    </w:p>
    <w:p w14:paraId="029E4814" w14:textId="5517B128" w:rsidR="003C5765" w:rsidRDefault="003C5765" w:rsidP="003C5765">
      <w:pPr>
        <w:pStyle w:val="VLADocumentText"/>
        <w:rPr>
          <w:rFonts w:cs="Arial"/>
        </w:rPr>
      </w:pPr>
      <w:r>
        <w:rPr>
          <w:lang w:eastAsia="en-AU"/>
        </w:rPr>
        <w:t>In our experience, a significant</w:t>
      </w:r>
      <w:r w:rsidRPr="009230D4">
        <w:rPr>
          <w:lang w:eastAsia="en-AU"/>
        </w:rPr>
        <w:t xml:space="preserve"> barrier to early disclosure is </w:t>
      </w:r>
      <w:r w:rsidR="00F07FFD">
        <w:rPr>
          <w:lang w:eastAsia="en-AU"/>
        </w:rPr>
        <w:t xml:space="preserve">a </w:t>
      </w:r>
      <w:r w:rsidRPr="009230D4">
        <w:rPr>
          <w:lang w:eastAsia="en-AU"/>
        </w:rPr>
        <w:t xml:space="preserve">lack of communication </w:t>
      </w:r>
      <w:r>
        <w:rPr>
          <w:lang w:eastAsia="en-AU"/>
        </w:rPr>
        <w:t xml:space="preserve">and engagement </w:t>
      </w:r>
      <w:r w:rsidRPr="009230D4">
        <w:rPr>
          <w:lang w:eastAsia="en-AU"/>
        </w:rPr>
        <w:t xml:space="preserve">between the </w:t>
      </w:r>
      <w:r>
        <w:rPr>
          <w:lang w:eastAsia="en-AU"/>
        </w:rPr>
        <w:t xml:space="preserve">informant, the </w:t>
      </w:r>
      <w:r w:rsidRPr="009230D4">
        <w:rPr>
          <w:lang w:eastAsia="en-AU"/>
        </w:rPr>
        <w:t>prosecution and defence</w:t>
      </w:r>
      <w:r>
        <w:rPr>
          <w:lang w:eastAsia="en-AU"/>
        </w:rPr>
        <w:t>.</w:t>
      </w:r>
      <w:r w:rsidRPr="009230D4">
        <w:rPr>
          <w:lang w:eastAsia="en-AU"/>
        </w:rPr>
        <w:t xml:space="preserve"> </w:t>
      </w:r>
      <w:r>
        <w:rPr>
          <w:lang w:eastAsia="en-AU"/>
        </w:rPr>
        <w:t>E</w:t>
      </w:r>
      <w:r w:rsidRPr="00B1759A">
        <w:rPr>
          <w:lang w:eastAsia="en-AU"/>
        </w:rPr>
        <w:t>arly communication between defence and prosecution</w:t>
      </w:r>
      <w:r>
        <w:rPr>
          <w:lang w:eastAsia="en-AU"/>
        </w:rPr>
        <w:t xml:space="preserve">, </w:t>
      </w:r>
      <w:r w:rsidRPr="00B1759A">
        <w:rPr>
          <w:lang w:eastAsia="en-AU"/>
        </w:rPr>
        <w:t>focusing on the evidentiary issues and/or</w:t>
      </w:r>
      <w:r w:rsidR="00EC1885">
        <w:rPr>
          <w:lang w:eastAsia="en-AU"/>
        </w:rPr>
        <w:t xml:space="preserve"> the</w:t>
      </w:r>
      <w:r w:rsidRPr="00B1759A">
        <w:rPr>
          <w:lang w:eastAsia="en-AU"/>
        </w:rPr>
        <w:t xml:space="preserve"> elements in dispute</w:t>
      </w:r>
      <w:r>
        <w:rPr>
          <w:lang w:eastAsia="en-AU"/>
        </w:rPr>
        <w:t>,</w:t>
      </w:r>
      <w:r w:rsidRPr="00B1759A">
        <w:rPr>
          <w:lang w:eastAsia="en-AU"/>
        </w:rPr>
        <w:t xml:space="preserve"> </w:t>
      </w:r>
      <w:r>
        <w:rPr>
          <w:lang w:eastAsia="en-AU"/>
        </w:rPr>
        <w:t>would</w:t>
      </w:r>
      <w:r w:rsidRPr="00B1759A">
        <w:rPr>
          <w:lang w:eastAsia="en-AU"/>
        </w:rPr>
        <w:t xml:space="preserve"> contribute to the delivery of complete </w:t>
      </w:r>
      <w:r w:rsidRPr="003A7118">
        <w:rPr>
          <w:lang w:eastAsia="en-AU"/>
        </w:rPr>
        <w:t>hand-up brief</w:t>
      </w:r>
      <w:r w:rsidRPr="00B1759A">
        <w:rPr>
          <w:lang w:eastAsia="en-AU"/>
        </w:rPr>
        <w:t xml:space="preserve"> that meet</w:t>
      </w:r>
      <w:r>
        <w:rPr>
          <w:lang w:eastAsia="en-AU"/>
        </w:rPr>
        <w:t>s</w:t>
      </w:r>
      <w:r w:rsidRPr="00B1759A">
        <w:rPr>
          <w:lang w:eastAsia="en-AU"/>
        </w:rPr>
        <w:t xml:space="preserve"> the evidentiary needs of the prosecution and defence. </w:t>
      </w:r>
    </w:p>
    <w:p w14:paraId="0D3FD2A7" w14:textId="796F6CF6" w:rsidR="003C5765" w:rsidRDefault="003C5765" w:rsidP="003C5765">
      <w:pPr>
        <w:pStyle w:val="VLADocumentText"/>
        <w:rPr>
          <w:rFonts w:cs="Arial"/>
        </w:rPr>
      </w:pPr>
      <w:r>
        <w:t>Parties are currently required to conference at least 14 days prior to the committal mention and “engage in discussion to explore resolution of the case”</w:t>
      </w:r>
      <w:r w:rsidR="008E78C0">
        <w:t>.</w:t>
      </w:r>
      <w:r>
        <w:t xml:space="preserve"> </w:t>
      </w:r>
      <w:r w:rsidR="008E78C0">
        <w:t>I</w:t>
      </w:r>
      <w:r>
        <w:t>f resolution cannot be reached</w:t>
      </w:r>
      <w:r w:rsidR="008E78C0">
        <w:t xml:space="preserve"> parties should</w:t>
      </w:r>
      <w:r>
        <w:t xml:space="preserve"> “identify the relevant issues in the case and the witnesses requested for a contested committal”.</w:t>
      </w:r>
      <w:bookmarkStart w:id="54" w:name="_Ref17107523"/>
      <w:r>
        <w:rPr>
          <w:rStyle w:val="FootnoteReference"/>
        </w:rPr>
        <w:footnoteReference w:id="26"/>
      </w:r>
      <w:bookmarkEnd w:id="54"/>
      <w:r>
        <w:t xml:space="preserve"> However, in practice this does not achieve results</w:t>
      </w:r>
      <w:r w:rsidR="008E78C0">
        <w:t>,</w:t>
      </w:r>
      <w:r>
        <w:t xml:space="preserve"> due to delays with disclosure or delays in </w:t>
      </w:r>
      <w:r w:rsidR="00715A82">
        <w:t xml:space="preserve">appropriate plea offers </w:t>
      </w:r>
      <w:r>
        <w:t>being provided by sufficiently senior prosecutors.</w:t>
      </w:r>
    </w:p>
    <w:p w14:paraId="286B44EF" w14:textId="4D68A838" w:rsidR="00715A82" w:rsidRDefault="00533D7D" w:rsidP="003C5765">
      <w:pPr>
        <w:pStyle w:val="VLADocumentText"/>
        <w:rPr>
          <w:lang w:eastAsia="en-AU"/>
        </w:rPr>
      </w:pPr>
      <w:r>
        <w:rPr>
          <w:lang w:eastAsia="en-AU"/>
        </w:rPr>
        <w:t xml:space="preserve">We recommend an approach that </w:t>
      </w:r>
      <w:r w:rsidR="003C5765">
        <w:rPr>
          <w:lang w:eastAsia="en-AU"/>
        </w:rPr>
        <w:t>encourage</w:t>
      </w:r>
      <w:r>
        <w:rPr>
          <w:lang w:eastAsia="en-AU"/>
        </w:rPr>
        <w:t>s</w:t>
      </w:r>
      <w:r w:rsidR="003C5765">
        <w:rPr>
          <w:lang w:eastAsia="en-AU"/>
        </w:rPr>
        <w:t xml:space="preserve"> earlier and communication between all parties through early stage </w:t>
      </w:r>
      <w:r w:rsidR="003C5765" w:rsidRPr="00B1759A">
        <w:rPr>
          <w:lang w:eastAsia="en-AU"/>
        </w:rPr>
        <w:t xml:space="preserve">‘disclosure </w:t>
      </w:r>
      <w:proofErr w:type="gramStart"/>
      <w:r w:rsidR="003C5765" w:rsidRPr="00B1759A">
        <w:rPr>
          <w:lang w:eastAsia="en-AU"/>
        </w:rPr>
        <w:t>conferences’</w:t>
      </w:r>
      <w:proofErr w:type="gramEnd"/>
      <w:r w:rsidR="003C5765">
        <w:rPr>
          <w:lang w:eastAsia="en-AU"/>
        </w:rPr>
        <w:t xml:space="preserve">. We believe this would improve communication and </w:t>
      </w:r>
      <w:r w:rsidR="003C5765" w:rsidRPr="00F414F1">
        <w:rPr>
          <w:lang w:eastAsia="en-AU"/>
        </w:rPr>
        <w:t>foster a culture of communication between the parties</w:t>
      </w:r>
      <w:r w:rsidR="003C5765">
        <w:rPr>
          <w:lang w:eastAsia="en-AU"/>
        </w:rPr>
        <w:t>,</w:t>
      </w:r>
      <w:r w:rsidR="003C5765" w:rsidRPr="00F414F1">
        <w:rPr>
          <w:lang w:eastAsia="en-AU"/>
        </w:rPr>
        <w:t xml:space="preserve"> designed to give effect to the ongoing obligation of disclosure</w:t>
      </w:r>
      <w:r w:rsidR="003C5765">
        <w:rPr>
          <w:lang w:eastAsia="en-AU"/>
        </w:rPr>
        <w:t xml:space="preserve"> without imposing onerous obligations on parties</w:t>
      </w:r>
      <w:r w:rsidR="00715A82">
        <w:rPr>
          <w:lang w:eastAsia="en-AU"/>
        </w:rPr>
        <w:t>,</w:t>
      </w:r>
      <w:r w:rsidR="003C5765">
        <w:rPr>
          <w:lang w:eastAsia="en-AU"/>
        </w:rPr>
        <w:t xml:space="preserve"> or </w:t>
      </w:r>
      <w:r w:rsidR="00715A82">
        <w:rPr>
          <w:lang w:eastAsia="en-AU"/>
        </w:rPr>
        <w:t xml:space="preserve">significant </w:t>
      </w:r>
      <w:r w:rsidR="003C5765">
        <w:rPr>
          <w:lang w:eastAsia="en-AU"/>
        </w:rPr>
        <w:t>costs.</w:t>
      </w:r>
      <w:r w:rsidR="003C5765" w:rsidRPr="00F414F1">
        <w:rPr>
          <w:lang w:eastAsia="en-AU"/>
        </w:rPr>
        <w:t xml:space="preserve"> </w:t>
      </w:r>
    </w:p>
    <w:p w14:paraId="64810AAA" w14:textId="430A5937" w:rsidR="003C5765" w:rsidRPr="00F414F1" w:rsidRDefault="003F4B2B" w:rsidP="003C5765">
      <w:pPr>
        <w:pStyle w:val="VLADocumentText"/>
        <w:rPr>
          <w:rFonts w:ascii="Calibri Light" w:hAnsi="Calibri Light" w:cs="Calibri Light"/>
          <w:sz w:val="24"/>
          <w:lang w:eastAsia="en-AU"/>
        </w:rPr>
      </w:pPr>
      <w:r>
        <w:rPr>
          <w:lang w:eastAsia="en-AU"/>
        </w:rPr>
        <w:t xml:space="preserve">These </w:t>
      </w:r>
      <w:r w:rsidR="003C5765">
        <w:rPr>
          <w:lang w:eastAsia="en-AU"/>
        </w:rPr>
        <w:t>early stage disclosure conferences would involve the following:</w:t>
      </w:r>
    </w:p>
    <w:p w14:paraId="4582FCDB" w14:textId="35FF486F" w:rsidR="003C5765" w:rsidRDefault="003C5765" w:rsidP="003C5765">
      <w:pPr>
        <w:pStyle w:val="VLADocumentText"/>
        <w:numPr>
          <w:ilvl w:val="0"/>
          <w:numId w:val="13"/>
        </w:numPr>
        <w:rPr>
          <w:rFonts w:ascii="Calibri Light" w:hAnsi="Calibri Light" w:cs="Calibri Light"/>
          <w:sz w:val="24"/>
          <w:lang w:eastAsia="en-AU"/>
        </w:rPr>
      </w:pPr>
      <w:r w:rsidRPr="00F96C1A">
        <w:rPr>
          <w:b/>
          <w:lang w:eastAsia="en-AU"/>
        </w:rPr>
        <w:lastRenderedPageBreak/>
        <w:t>First Disclosure conference:</w:t>
      </w:r>
      <w:r w:rsidRPr="00F414F1">
        <w:rPr>
          <w:lang w:eastAsia="en-AU"/>
        </w:rPr>
        <w:t xml:space="preserve"> the parties (</w:t>
      </w:r>
      <w:r>
        <w:rPr>
          <w:lang w:eastAsia="en-AU"/>
        </w:rPr>
        <w:t>d</w:t>
      </w:r>
      <w:r w:rsidRPr="00F414F1">
        <w:rPr>
          <w:lang w:eastAsia="en-AU"/>
        </w:rPr>
        <w:t xml:space="preserve">efence lawyer, </w:t>
      </w:r>
      <w:r w:rsidR="00715A82">
        <w:rPr>
          <w:lang w:eastAsia="en-AU"/>
        </w:rPr>
        <w:t>prosecution</w:t>
      </w:r>
      <w:r w:rsidR="00715A82" w:rsidRPr="00F414F1">
        <w:rPr>
          <w:lang w:eastAsia="en-AU"/>
        </w:rPr>
        <w:t xml:space="preserve"> </w:t>
      </w:r>
      <w:r w:rsidRPr="00F414F1">
        <w:rPr>
          <w:lang w:eastAsia="en-AU"/>
        </w:rPr>
        <w:t xml:space="preserve">lawyer and informant) </w:t>
      </w:r>
      <w:r>
        <w:rPr>
          <w:lang w:eastAsia="en-AU"/>
        </w:rPr>
        <w:t xml:space="preserve">could be required </w:t>
      </w:r>
      <w:r w:rsidRPr="00F414F1">
        <w:rPr>
          <w:lang w:eastAsia="en-AU"/>
        </w:rPr>
        <w:t xml:space="preserve">to meet </w:t>
      </w:r>
      <w:r>
        <w:rPr>
          <w:lang w:eastAsia="en-AU"/>
        </w:rPr>
        <w:t xml:space="preserve">via telephone conference (or in person) </w:t>
      </w:r>
      <w:r w:rsidRPr="00F414F1">
        <w:rPr>
          <w:lang w:eastAsia="en-AU"/>
        </w:rPr>
        <w:t xml:space="preserve">shortly after the </w:t>
      </w:r>
      <w:r>
        <w:rPr>
          <w:lang w:eastAsia="en-AU"/>
        </w:rPr>
        <w:t>filing hearing</w:t>
      </w:r>
      <w:r w:rsidR="00F10C6A">
        <w:rPr>
          <w:lang w:eastAsia="en-AU"/>
        </w:rPr>
        <w:t>.</w:t>
      </w:r>
      <w:r>
        <w:rPr>
          <w:lang w:eastAsia="en-AU"/>
        </w:rPr>
        <w:t xml:space="preserve"> </w:t>
      </w:r>
      <w:r w:rsidR="00F10C6A">
        <w:rPr>
          <w:lang w:eastAsia="en-AU"/>
        </w:rPr>
        <w:t>Meeting at this early stage would</w:t>
      </w:r>
      <w:r w:rsidRPr="00F414F1">
        <w:rPr>
          <w:lang w:eastAsia="en-AU"/>
        </w:rPr>
        <w:t xml:space="preserve"> assist in prioritising evidence analysis</w:t>
      </w:r>
      <w:r w:rsidR="00F10C6A">
        <w:rPr>
          <w:lang w:eastAsia="en-AU"/>
        </w:rPr>
        <w:t>,</w:t>
      </w:r>
      <w:r w:rsidRPr="00F414F1">
        <w:rPr>
          <w:lang w:eastAsia="en-AU"/>
        </w:rPr>
        <w:t xml:space="preserve"> </w:t>
      </w:r>
      <w:r>
        <w:rPr>
          <w:lang w:eastAsia="en-AU"/>
        </w:rPr>
        <w:t xml:space="preserve">for example, to reach </w:t>
      </w:r>
      <w:r w:rsidRPr="00F414F1">
        <w:rPr>
          <w:lang w:eastAsia="en-AU"/>
        </w:rPr>
        <w:t xml:space="preserve">agreement as </w:t>
      </w:r>
      <w:r>
        <w:rPr>
          <w:lang w:eastAsia="en-AU"/>
        </w:rPr>
        <w:t>what forensic analysis is required</w:t>
      </w:r>
      <w:r w:rsidRPr="00F414F1">
        <w:rPr>
          <w:lang w:eastAsia="en-AU"/>
        </w:rPr>
        <w:t xml:space="preserve">, what digital devices have been seized and what may be in issue </w:t>
      </w:r>
      <w:r w:rsidR="00F10C6A">
        <w:rPr>
          <w:lang w:eastAsia="en-AU"/>
        </w:rPr>
        <w:t>(</w:t>
      </w:r>
      <w:r>
        <w:rPr>
          <w:lang w:eastAsia="en-AU"/>
        </w:rPr>
        <w:t>such as</w:t>
      </w:r>
      <w:r w:rsidRPr="00F414F1">
        <w:rPr>
          <w:lang w:eastAsia="en-AU"/>
        </w:rPr>
        <w:t xml:space="preserve"> expert statement</w:t>
      </w:r>
      <w:r>
        <w:rPr>
          <w:lang w:eastAsia="en-AU"/>
        </w:rPr>
        <w:t>s</w:t>
      </w:r>
      <w:r w:rsidRPr="00F414F1">
        <w:rPr>
          <w:lang w:eastAsia="en-AU"/>
        </w:rPr>
        <w:t xml:space="preserve"> </w:t>
      </w:r>
      <w:r>
        <w:rPr>
          <w:lang w:eastAsia="en-AU"/>
        </w:rPr>
        <w:t xml:space="preserve">on telephone signal </w:t>
      </w:r>
      <w:r w:rsidRPr="00F414F1">
        <w:rPr>
          <w:lang w:eastAsia="en-AU"/>
        </w:rPr>
        <w:t>towers</w:t>
      </w:r>
      <w:r w:rsidR="00F10C6A">
        <w:rPr>
          <w:lang w:eastAsia="en-AU"/>
        </w:rPr>
        <w:t>)</w:t>
      </w:r>
      <w:r w:rsidRPr="00F414F1">
        <w:rPr>
          <w:lang w:eastAsia="en-AU"/>
        </w:rPr>
        <w:t xml:space="preserve">. </w:t>
      </w:r>
      <w:r>
        <w:rPr>
          <w:lang w:eastAsia="en-AU"/>
        </w:rPr>
        <w:t xml:space="preserve">To properly realise the utility of this first conference, participants would need to have confidence that the informant will provide all the relevant information at this early stage, particularly in matters where there is no remand summary, such as a homicide. </w:t>
      </w:r>
    </w:p>
    <w:p w14:paraId="4D2B37B2" w14:textId="3FD5980B" w:rsidR="003C5765" w:rsidRPr="001F6BD5" w:rsidRDefault="003C5765" w:rsidP="003C5765">
      <w:pPr>
        <w:pStyle w:val="VLADocumentText"/>
        <w:numPr>
          <w:ilvl w:val="0"/>
          <w:numId w:val="13"/>
        </w:numPr>
        <w:rPr>
          <w:rFonts w:ascii="Calibri Light" w:hAnsi="Calibri Light" w:cs="Calibri Light"/>
          <w:sz w:val="24"/>
          <w:lang w:eastAsia="en-AU"/>
        </w:rPr>
      </w:pPr>
      <w:r w:rsidRPr="00F96C1A">
        <w:rPr>
          <w:b/>
          <w:lang w:eastAsia="en-AU"/>
        </w:rPr>
        <w:t xml:space="preserve">Second Disclosure conference: </w:t>
      </w:r>
      <w:r w:rsidRPr="00F414F1">
        <w:rPr>
          <w:lang w:eastAsia="en-AU"/>
        </w:rPr>
        <w:t xml:space="preserve">all parties </w:t>
      </w:r>
      <w:r>
        <w:rPr>
          <w:lang w:eastAsia="en-AU"/>
        </w:rPr>
        <w:t xml:space="preserve">should be required to </w:t>
      </w:r>
      <w:r w:rsidRPr="00F414F1">
        <w:rPr>
          <w:lang w:eastAsia="en-AU"/>
        </w:rPr>
        <w:t xml:space="preserve">meet </w:t>
      </w:r>
      <w:r>
        <w:rPr>
          <w:lang w:eastAsia="en-AU"/>
        </w:rPr>
        <w:t xml:space="preserve">via telephone </w:t>
      </w:r>
      <w:r w:rsidRPr="00F414F1">
        <w:rPr>
          <w:lang w:eastAsia="en-AU"/>
        </w:rPr>
        <w:t xml:space="preserve">shortly after the </w:t>
      </w:r>
      <w:r w:rsidRPr="003A7118">
        <w:rPr>
          <w:lang w:eastAsia="en-AU"/>
        </w:rPr>
        <w:t>hand-up brief</w:t>
      </w:r>
      <w:r w:rsidRPr="00F414F1">
        <w:rPr>
          <w:lang w:eastAsia="en-AU"/>
        </w:rPr>
        <w:t xml:space="preserve"> is served </w:t>
      </w:r>
      <w:r w:rsidRPr="004675C4">
        <w:rPr>
          <w:rFonts w:cstheme="minorHAnsi"/>
          <w:lang w:eastAsia="en-AU"/>
        </w:rPr>
        <w:t xml:space="preserve">(either before/just after </w:t>
      </w:r>
      <w:r>
        <w:rPr>
          <w:rFonts w:cstheme="minorHAnsi"/>
          <w:lang w:eastAsia="en-AU"/>
        </w:rPr>
        <w:t>first</w:t>
      </w:r>
      <w:r w:rsidRPr="004675C4">
        <w:rPr>
          <w:rFonts w:cstheme="minorHAnsi"/>
          <w:lang w:eastAsia="en-AU"/>
        </w:rPr>
        <w:t xml:space="preserve"> committal mention</w:t>
      </w:r>
      <w:r>
        <w:rPr>
          <w:rFonts w:cstheme="minorHAnsi"/>
          <w:lang w:eastAsia="en-AU"/>
        </w:rPr>
        <w:t xml:space="preserve">) </w:t>
      </w:r>
      <w:r w:rsidRPr="00F414F1">
        <w:rPr>
          <w:lang w:eastAsia="en-AU"/>
        </w:rPr>
        <w:t>to discuss disclosure</w:t>
      </w:r>
      <w:r>
        <w:rPr>
          <w:lang w:eastAsia="en-AU"/>
        </w:rPr>
        <w:t xml:space="preserve"> and </w:t>
      </w:r>
      <w:r w:rsidR="00F10C6A">
        <w:rPr>
          <w:lang w:eastAsia="en-AU"/>
        </w:rPr>
        <w:t xml:space="preserve">the possibility of early </w:t>
      </w:r>
      <w:r>
        <w:rPr>
          <w:lang w:eastAsia="en-AU"/>
        </w:rPr>
        <w:t>resolution</w:t>
      </w:r>
      <w:r w:rsidRPr="00F414F1">
        <w:rPr>
          <w:lang w:eastAsia="en-AU"/>
        </w:rPr>
        <w:t>. This will assist in resolving disputes as to (i) relevance and (ii) privilege</w:t>
      </w:r>
      <w:r>
        <w:rPr>
          <w:lang w:eastAsia="en-AU"/>
        </w:rPr>
        <w:t>,</w:t>
      </w:r>
      <w:r w:rsidRPr="00F414F1">
        <w:rPr>
          <w:lang w:eastAsia="en-AU"/>
        </w:rPr>
        <w:t xml:space="preserve"> and help to narrow requests where appropriate</w:t>
      </w:r>
      <w:r>
        <w:rPr>
          <w:lang w:eastAsia="en-AU"/>
        </w:rPr>
        <w:t xml:space="preserve">. </w:t>
      </w:r>
    </w:p>
    <w:p w14:paraId="0E049536" w14:textId="0BB15697" w:rsidR="003C5765" w:rsidRPr="002B47DF" w:rsidRDefault="00F96C1A" w:rsidP="003C5765">
      <w:pPr>
        <w:pStyle w:val="VLADocumentText"/>
        <w:numPr>
          <w:ilvl w:val="0"/>
          <w:numId w:val="13"/>
        </w:numPr>
        <w:rPr>
          <w:rFonts w:ascii="Calibri Light" w:hAnsi="Calibri Light" w:cs="Calibri Light"/>
          <w:sz w:val="24"/>
          <w:lang w:eastAsia="en-AU"/>
        </w:rPr>
      </w:pPr>
      <w:r>
        <w:rPr>
          <w:b/>
          <w:lang w:eastAsia="en-AU"/>
        </w:rPr>
        <w:t>Senior staff review</w:t>
      </w:r>
      <w:r w:rsidRPr="00F96C1A">
        <w:rPr>
          <w:b/>
          <w:lang w:eastAsia="en-AU"/>
        </w:rPr>
        <w:t xml:space="preserve">: </w:t>
      </w:r>
      <w:r w:rsidR="003C5765" w:rsidRPr="002B47DF">
        <w:rPr>
          <w:lang w:eastAsia="en-AU"/>
        </w:rPr>
        <w:t xml:space="preserve">By the conclusion of a second disclosure conference, </w:t>
      </w:r>
      <w:r w:rsidR="00F10C6A">
        <w:rPr>
          <w:lang w:eastAsia="en-AU"/>
        </w:rPr>
        <w:t xml:space="preserve">the </w:t>
      </w:r>
      <w:r w:rsidR="003C5765" w:rsidRPr="002B47DF">
        <w:rPr>
          <w:lang w:eastAsia="en-AU"/>
        </w:rPr>
        <w:t>charges</w:t>
      </w:r>
      <w:r w:rsidR="00F10C6A">
        <w:rPr>
          <w:lang w:eastAsia="en-AU"/>
        </w:rPr>
        <w:t>, evidence and</w:t>
      </w:r>
      <w:r w:rsidR="003C5765" w:rsidRPr="002B47DF">
        <w:rPr>
          <w:lang w:eastAsia="en-AU"/>
        </w:rPr>
        <w:t xml:space="preserve"> offers should be reviewed by a senior prosecutor</w:t>
      </w:r>
      <w:r w:rsidR="003C5765">
        <w:rPr>
          <w:lang w:eastAsia="en-AU"/>
        </w:rPr>
        <w:t xml:space="preserve"> with </w:t>
      </w:r>
      <w:r w:rsidR="003C5765">
        <w:t>delegated authority to resolve matters</w:t>
      </w:r>
      <w:r w:rsidR="003C5765">
        <w:rPr>
          <w:lang w:eastAsia="en-AU"/>
        </w:rPr>
        <w:t xml:space="preserve">. </w:t>
      </w:r>
    </w:p>
    <w:p w14:paraId="60DD0185" w14:textId="341F864D" w:rsidR="003C5765" w:rsidRDefault="00D15558" w:rsidP="003C5765">
      <w:pPr>
        <w:pStyle w:val="VLADocumentText"/>
        <w:rPr>
          <w:lang w:eastAsia="en-AU"/>
        </w:rPr>
      </w:pPr>
      <w:r>
        <w:rPr>
          <w:lang w:eastAsia="en-AU"/>
        </w:rPr>
        <w:t>We acknowledge that i</w:t>
      </w:r>
      <w:r w:rsidR="003C5765">
        <w:rPr>
          <w:lang w:eastAsia="en-AU"/>
        </w:rPr>
        <w:t xml:space="preserve">n </w:t>
      </w:r>
      <w:r w:rsidR="008B514D">
        <w:rPr>
          <w:lang w:eastAsia="en-AU"/>
        </w:rPr>
        <w:t>a</w:t>
      </w:r>
      <w:r w:rsidR="003C5765">
        <w:rPr>
          <w:lang w:eastAsia="en-AU"/>
        </w:rPr>
        <w:t xml:space="preserve"> pressured system, </w:t>
      </w:r>
      <w:r w:rsidR="006E1BA4">
        <w:t xml:space="preserve">agencies </w:t>
      </w:r>
      <w:r w:rsidR="008B514D">
        <w:t xml:space="preserve">will </w:t>
      </w:r>
      <w:r w:rsidR="006E1BA4">
        <w:t xml:space="preserve">need time and resources to ensure they can service these new procedural steps. </w:t>
      </w:r>
      <w:r w:rsidR="008B514D">
        <w:t>In our submission, t</w:t>
      </w:r>
      <w:r w:rsidR="00A8535F">
        <w:t>his would be a valuable and worthwhile investment, as e</w:t>
      </w:r>
      <w:r w:rsidR="003C5765">
        <w:rPr>
          <w:lang w:eastAsia="en-AU"/>
        </w:rPr>
        <w:t>ven brief telephone calls would significantly facilitate appropriate disclosure and early resolution of matters. With proper resourcing and funding, the initial costs of an extra communication step would be outweighed by the savings made through improved disclosure, early narrowing of issues, reduction in delays, and downstream benefits to the system and to complainants and witnesses.</w:t>
      </w:r>
    </w:p>
    <w:p w14:paraId="1EE48A9D" w14:textId="513B0CEC" w:rsidR="00260BB6" w:rsidRPr="00053B56" w:rsidRDefault="009B7A06" w:rsidP="0090797E">
      <w:pPr>
        <w:pStyle w:val="Heading3"/>
      </w:pPr>
      <w:bookmarkStart w:id="55" w:name="_Toc17050674"/>
      <w:bookmarkStart w:id="56" w:name="_Toc17155089"/>
      <w:r>
        <w:t>4</w:t>
      </w:r>
      <w:r w:rsidR="001B2027">
        <w:t xml:space="preserve">. </w:t>
      </w:r>
      <w:r w:rsidR="00260BB6" w:rsidRPr="002F7F41">
        <w:t xml:space="preserve">Conferencing and seniority </w:t>
      </w:r>
      <w:r w:rsidR="00260BB6" w:rsidRPr="00A82FA5">
        <w:t>of prosecutors</w:t>
      </w:r>
      <w:bookmarkEnd w:id="55"/>
      <w:bookmarkEnd w:id="56"/>
    </w:p>
    <w:p w14:paraId="4D7039D0" w14:textId="5AD6FE10" w:rsidR="00F10C6A" w:rsidRDefault="00F10C6A" w:rsidP="0034387D">
      <w:pPr>
        <w:pStyle w:val="VLADocumentText"/>
      </w:pPr>
      <w:r>
        <w:rPr>
          <w:lang w:eastAsia="en-AU"/>
        </w:rPr>
        <w:t xml:space="preserve">VLA recommends that </w:t>
      </w:r>
      <w:r w:rsidR="00C239D9">
        <w:rPr>
          <w:lang w:eastAsia="en-AU"/>
        </w:rPr>
        <w:t>s</w:t>
      </w:r>
      <w:r w:rsidR="00C239D9" w:rsidRPr="00B60E47">
        <w:t xml:space="preserve">enior prosecutors with delegated authority to consider and approve plea offers </w:t>
      </w:r>
      <w:r w:rsidR="00C239D9">
        <w:t>should</w:t>
      </w:r>
      <w:r w:rsidR="00C239D9" w:rsidRPr="00B60E47">
        <w:t xml:space="preserve"> be </w:t>
      </w:r>
      <w:r w:rsidR="00771E27">
        <w:t>made available</w:t>
      </w:r>
      <w:r w:rsidR="00771E27" w:rsidRPr="00B60E47">
        <w:t xml:space="preserve"> </w:t>
      </w:r>
      <w:r w:rsidR="00C239D9" w:rsidRPr="00B60E47">
        <w:t>to prepare and engage</w:t>
      </w:r>
      <w:r w:rsidR="00C239D9">
        <w:t xml:space="preserve"> with the evidence </w:t>
      </w:r>
      <w:r w:rsidR="00C239D9" w:rsidRPr="00B60E47">
        <w:t>at</w:t>
      </w:r>
      <w:r w:rsidR="00C239D9">
        <w:t xml:space="preserve"> the </w:t>
      </w:r>
      <w:r w:rsidR="00C239D9" w:rsidRPr="00B60E47">
        <w:t>earl</w:t>
      </w:r>
      <w:r w:rsidR="00C239D9">
        <w:t>iest</w:t>
      </w:r>
      <w:r w:rsidR="00C239D9" w:rsidRPr="00B60E47">
        <w:t xml:space="preserve"> stag</w:t>
      </w:r>
      <w:r w:rsidR="00C239D9" w:rsidRPr="00B819F4">
        <w:rPr>
          <w:rFonts w:cstheme="minorBidi"/>
          <w:color w:val="000000"/>
          <w:lang w:eastAsia="en-AU"/>
        </w:rPr>
        <w:t>e</w:t>
      </w:r>
      <w:r w:rsidR="00C239D9" w:rsidRPr="00B32D8A">
        <w:rPr>
          <w:rFonts w:cstheme="minorBidi"/>
          <w:color w:val="000000"/>
          <w:lang w:eastAsia="en-AU"/>
        </w:rPr>
        <w:t xml:space="preserve"> of </w:t>
      </w:r>
      <w:r w:rsidR="00C239D9" w:rsidRPr="00B819F4">
        <w:rPr>
          <w:rFonts w:cstheme="minorBidi"/>
          <w:color w:val="000000"/>
          <w:lang w:eastAsia="en-AU"/>
        </w:rPr>
        <w:t>committal</w:t>
      </w:r>
      <w:r w:rsidR="00C239D9" w:rsidRPr="00B32D8A">
        <w:rPr>
          <w:rFonts w:cstheme="minorBidi"/>
          <w:color w:val="000000"/>
          <w:lang w:eastAsia="en-AU"/>
        </w:rPr>
        <w:t xml:space="preserve"> </w:t>
      </w:r>
      <w:r w:rsidR="00C239D9" w:rsidRPr="00E703B3">
        <w:rPr>
          <w:rFonts w:cstheme="minorBidi"/>
          <w:color w:val="000000"/>
          <w:lang w:eastAsia="en-AU"/>
        </w:rPr>
        <w:t xml:space="preserve">proceedings, </w:t>
      </w:r>
      <w:r w:rsidR="00C239D9" w:rsidRPr="00C77C77">
        <w:rPr>
          <w:rFonts w:cstheme="minorBidi"/>
          <w:color w:val="000000"/>
          <w:lang w:eastAsia="en-AU"/>
        </w:rPr>
        <w:t>including</w:t>
      </w:r>
      <w:r w:rsidR="00C239D9" w:rsidRPr="0048260A">
        <w:rPr>
          <w:rFonts w:cstheme="minorBidi"/>
          <w:color w:val="000000"/>
          <w:lang w:eastAsia="en-AU"/>
        </w:rPr>
        <w:t xml:space="preserve"> </w:t>
      </w:r>
      <w:r w:rsidR="00FF11F3">
        <w:rPr>
          <w:rFonts w:cstheme="minorBidi"/>
          <w:color w:val="000000"/>
          <w:lang w:eastAsia="en-AU"/>
        </w:rPr>
        <w:t xml:space="preserve">for </w:t>
      </w:r>
      <w:r w:rsidR="00C239D9">
        <w:rPr>
          <w:rFonts w:cstheme="minorBidi"/>
          <w:color w:val="000000"/>
          <w:lang w:eastAsia="en-AU"/>
        </w:rPr>
        <w:t xml:space="preserve">case conferencing and </w:t>
      </w:r>
      <w:r w:rsidR="00C239D9" w:rsidRPr="0048260A">
        <w:rPr>
          <w:rFonts w:cstheme="minorBidi"/>
          <w:color w:val="000000"/>
          <w:lang w:eastAsia="en-AU"/>
        </w:rPr>
        <w:t>appear</w:t>
      </w:r>
      <w:r w:rsidR="00FF11F3">
        <w:rPr>
          <w:rFonts w:cstheme="minorBidi"/>
          <w:color w:val="000000"/>
          <w:lang w:eastAsia="en-AU"/>
        </w:rPr>
        <w:t>ance</w:t>
      </w:r>
      <w:r w:rsidR="00C239D9" w:rsidRPr="0048260A">
        <w:rPr>
          <w:rFonts w:cstheme="minorBidi"/>
          <w:color w:val="000000"/>
          <w:lang w:eastAsia="en-AU"/>
        </w:rPr>
        <w:t xml:space="preserve"> in the committal </w:t>
      </w:r>
      <w:r w:rsidR="00021D0F">
        <w:rPr>
          <w:rFonts w:cstheme="minorBidi"/>
          <w:color w:val="000000"/>
          <w:lang w:eastAsia="en-AU"/>
        </w:rPr>
        <w:t>proceedings</w:t>
      </w:r>
      <w:r w:rsidR="00C239D9" w:rsidRPr="0048260A">
        <w:rPr>
          <w:rFonts w:cstheme="minorBidi"/>
          <w:color w:val="000000"/>
          <w:lang w:eastAsia="en-AU"/>
        </w:rPr>
        <w:t>, prior t</w:t>
      </w:r>
      <w:r w:rsidR="00C239D9" w:rsidRPr="002B6395">
        <w:rPr>
          <w:rFonts w:cstheme="minorBidi"/>
          <w:color w:val="000000"/>
          <w:lang w:eastAsia="en-AU"/>
        </w:rPr>
        <w:t>o the committal hearing</w:t>
      </w:r>
      <w:r w:rsidR="00C239D9" w:rsidRPr="00B3040E">
        <w:rPr>
          <w:rFonts w:cstheme="minorBidi"/>
          <w:color w:val="000000"/>
          <w:lang w:eastAsia="en-AU"/>
        </w:rPr>
        <w:t>.</w:t>
      </w:r>
      <w:r w:rsidR="00C239D9" w:rsidRPr="00B80182">
        <w:rPr>
          <w:rFonts w:cstheme="minorBidi"/>
          <w:color w:val="000000"/>
          <w:lang w:eastAsia="en-AU"/>
        </w:rPr>
        <w:t xml:space="preserve"> This will enabl</w:t>
      </w:r>
      <w:r w:rsidR="00C239D9" w:rsidRPr="00D0625D">
        <w:rPr>
          <w:rFonts w:cstheme="minorBidi"/>
          <w:color w:val="000000"/>
          <w:lang w:eastAsia="en-AU"/>
        </w:rPr>
        <w:t xml:space="preserve">e full effect </w:t>
      </w:r>
      <w:r w:rsidR="00C239D9" w:rsidRPr="00015C3F">
        <w:rPr>
          <w:rFonts w:cstheme="minorBidi"/>
          <w:color w:val="000000"/>
          <w:lang w:eastAsia="en-AU"/>
        </w:rPr>
        <w:t xml:space="preserve">to be given to the </w:t>
      </w:r>
      <w:r w:rsidR="00C239D9" w:rsidRPr="00266BF7">
        <w:rPr>
          <w:rFonts w:cstheme="minorBidi"/>
          <w:color w:val="000000"/>
          <w:lang w:eastAsia="en-AU"/>
        </w:rPr>
        <w:t>Magistrates’</w:t>
      </w:r>
      <w:r w:rsidR="00C239D9" w:rsidRPr="00770D16">
        <w:rPr>
          <w:rFonts w:cstheme="minorBidi"/>
          <w:color w:val="000000"/>
          <w:lang w:eastAsia="en-AU"/>
        </w:rPr>
        <w:t xml:space="preserve"> Court Practice Direction </w:t>
      </w:r>
      <w:r w:rsidR="00C239D9" w:rsidRPr="00B819F4">
        <w:rPr>
          <w:rFonts w:cstheme="minorBidi"/>
          <w:color w:val="000000"/>
          <w:lang w:eastAsia="en-AU"/>
        </w:rPr>
        <w:t xml:space="preserve">that both </w:t>
      </w:r>
      <w:r w:rsidR="00C239D9" w:rsidRPr="00B32D8A">
        <w:rPr>
          <w:rFonts w:cstheme="minorBidi"/>
          <w:color w:val="000000"/>
          <w:lang w:eastAsia="en-AU"/>
        </w:rPr>
        <w:t>parties</w:t>
      </w:r>
      <w:r w:rsidR="00C239D9" w:rsidRPr="00E703B3">
        <w:rPr>
          <w:rFonts w:cstheme="minorBidi"/>
          <w:color w:val="000000"/>
          <w:lang w:eastAsia="en-AU"/>
        </w:rPr>
        <w:t xml:space="preserve"> who attend committ</w:t>
      </w:r>
      <w:r w:rsidR="00C239D9" w:rsidRPr="00C77C77">
        <w:rPr>
          <w:rFonts w:cstheme="minorBidi"/>
          <w:color w:val="000000"/>
          <w:lang w:eastAsia="en-AU"/>
        </w:rPr>
        <w:t>al mentions</w:t>
      </w:r>
      <w:r w:rsidR="00C239D9" w:rsidRPr="0088090D">
        <w:rPr>
          <w:rFonts w:cstheme="minorBidi"/>
          <w:color w:val="000000"/>
          <w:lang w:eastAsia="en-AU"/>
        </w:rPr>
        <w:t xml:space="preserve"> and </w:t>
      </w:r>
      <w:r w:rsidR="00C239D9" w:rsidRPr="0048260A">
        <w:rPr>
          <w:rFonts w:cstheme="minorBidi"/>
          <w:color w:val="000000"/>
          <w:lang w:eastAsia="en-AU"/>
        </w:rPr>
        <w:t xml:space="preserve">conferences </w:t>
      </w:r>
      <w:r w:rsidR="008B514D">
        <w:rPr>
          <w:rFonts w:cstheme="minorBidi"/>
          <w:color w:val="000000"/>
          <w:lang w:eastAsia="en-AU"/>
        </w:rPr>
        <w:t xml:space="preserve">should </w:t>
      </w:r>
      <w:r w:rsidR="00C239D9" w:rsidRPr="00B3040E">
        <w:rPr>
          <w:rFonts w:cstheme="minorBidi"/>
          <w:color w:val="000000"/>
          <w:lang w:eastAsia="en-AU"/>
        </w:rPr>
        <w:t>have author</w:t>
      </w:r>
      <w:r w:rsidR="00C239D9" w:rsidRPr="00B80182">
        <w:rPr>
          <w:rFonts w:cstheme="minorBidi"/>
          <w:color w:val="000000"/>
          <w:lang w:eastAsia="en-AU"/>
        </w:rPr>
        <w:t>ity to resolve the case.</w:t>
      </w:r>
      <w:bookmarkStart w:id="57" w:name="_Ref17107538"/>
      <w:r w:rsidR="00021D0F">
        <w:rPr>
          <w:rStyle w:val="FootnoteReference"/>
          <w:rFonts w:cstheme="minorBidi"/>
          <w:color w:val="000000"/>
          <w:lang w:eastAsia="en-AU"/>
        </w:rPr>
        <w:footnoteReference w:id="27"/>
      </w:r>
      <w:bookmarkEnd w:id="57"/>
      <w:r w:rsidR="00C239D9" w:rsidRPr="00C239D9">
        <w:t xml:space="preserve"> </w:t>
      </w:r>
    </w:p>
    <w:p w14:paraId="29C4B87A" w14:textId="0FEE78DF" w:rsidR="00FF11F3" w:rsidRDefault="00FF11F3" w:rsidP="0034387D">
      <w:pPr>
        <w:pStyle w:val="VLADocumentText"/>
      </w:pPr>
      <w:r>
        <w:t>In house advocates from the OPP routinely appear at committal mentions without being specifically assigned to the case and without delegated authority to resolve matters. For logistical and funding reasons, the solicitors with carriage from the OPP also do not appear at these hearings and generally do not attend at all.</w:t>
      </w:r>
    </w:p>
    <w:p w14:paraId="2EBA9563" w14:textId="62A24693" w:rsidR="0034387D" w:rsidRDefault="00C239D9" w:rsidP="0034387D">
      <w:pPr>
        <w:pStyle w:val="VLADocumentText"/>
      </w:pPr>
      <w:r>
        <w:rPr>
          <w:rFonts w:cs="Arial"/>
          <w:lang w:eastAsia="en-AU"/>
        </w:rPr>
        <w:t xml:space="preserve">VLA’s experience is that </w:t>
      </w:r>
      <w:r w:rsidR="00FF11F3" w:rsidRPr="00E703B3">
        <w:rPr>
          <w:rFonts w:cstheme="minorBidi"/>
          <w:color w:val="000000"/>
          <w:lang w:eastAsia="en-AU"/>
        </w:rPr>
        <w:t xml:space="preserve">offers </w:t>
      </w:r>
      <w:r w:rsidR="00FF11F3">
        <w:rPr>
          <w:rFonts w:cstheme="minorBidi"/>
          <w:color w:val="000000"/>
          <w:lang w:eastAsia="en-AU"/>
        </w:rPr>
        <w:t xml:space="preserve">made by our lawyers </w:t>
      </w:r>
      <w:r w:rsidR="00FF11F3" w:rsidRPr="00E703B3">
        <w:rPr>
          <w:rFonts w:cstheme="minorBidi"/>
          <w:color w:val="000000"/>
          <w:lang w:eastAsia="en-AU"/>
        </w:rPr>
        <w:t>at an early stage</w:t>
      </w:r>
      <w:r w:rsidR="00FF11F3">
        <w:rPr>
          <w:rFonts w:cstheme="minorBidi"/>
          <w:color w:val="000000"/>
          <w:lang w:eastAsia="en-AU"/>
        </w:rPr>
        <w:t xml:space="preserve"> are</w:t>
      </w:r>
      <w:r w:rsidR="00FF11F3" w:rsidRPr="00E703B3">
        <w:rPr>
          <w:rFonts w:cstheme="minorBidi"/>
          <w:color w:val="000000"/>
          <w:lang w:eastAsia="en-AU"/>
        </w:rPr>
        <w:t xml:space="preserve"> rarely fully considered until committal hearing stage</w:t>
      </w:r>
      <w:r w:rsidR="00FF11F3">
        <w:rPr>
          <w:rFonts w:cstheme="minorBidi"/>
          <w:color w:val="000000"/>
          <w:lang w:eastAsia="en-AU"/>
        </w:rPr>
        <w:t>.</w:t>
      </w:r>
      <w:r w:rsidR="00FF11F3">
        <w:rPr>
          <w:rFonts w:cs="Arial"/>
          <w:lang w:eastAsia="en-AU"/>
        </w:rPr>
        <w:t xml:space="preserve"> D</w:t>
      </w:r>
      <w:r>
        <w:rPr>
          <w:rFonts w:cs="Arial"/>
          <w:lang w:eastAsia="en-AU"/>
        </w:rPr>
        <w:t xml:space="preserve">espite </w:t>
      </w:r>
      <w:r>
        <w:t>the Magistrates’ Court Practice Notes which encourage case conferencing,</w:t>
      </w:r>
      <w:r>
        <w:rPr>
          <w:rStyle w:val="FootnoteReference"/>
        </w:rPr>
        <w:footnoteReference w:id="28"/>
      </w:r>
      <w:r w:rsidR="00FF11F3">
        <w:t xml:space="preserve"> </w:t>
      </w:r>
      <w:r w:rsidR="00E75701">
        <w:t xml:space="preserve">these are </w:t>
      </w:r>
      <w:r w:rsidR="00FF11F3">
        <w:t>t</w:t>
      </w:r>
      <w:r>
        <w:t xml:space="preserve">ypically </w:t>
      </w:r>
      <w:r w:rsidR="0034387D">
        <w:t xml:space="preserve">carried out by solicitors without authority to make or accept offers. </w:t>
      </w:r>
      <w:r>
        <w:t xml:space="preserve">This means that </w:t>
      </w:r>
      <w:r w:rsidR="00E75701">
        <w:t xml:space="preserve">after a case conference has been conducted, </w:t>
      </w:r>
      <w:r>
        <w:t>i</w:t>
      </w:r>
      <w:r w:rsidR="0034387D">
        <w:t xml:space="preserve">nstructions must be sought from </w:t>
      </w:r>
      <w:r w:rsidR="0034387D" w:rsidRPr="3CD71354">
        <w:rPr>
          <w:rFonts w:cstheme="minorBidi"/>
          <w:color w:val="000000"/>
          <w:lang w:eastAsia="en-AU"/>
        </w:rPr>
        <w:t>a prosecutor with delegated authority, who is rarely present at the hearing</w:t>
      </w:r>
      <w:r w:rsidR="0034387D">
        <w:t>. Due to current capacity constraints this step often results in delays, which impedes timely resolution.</w:t>
      </w:r>
      <w:r w:rsidR="0034387D" w:rsidRPr="3CD71354">
        <w:rPr>
          <w:rFonts w:cstheme="minorBidi"/>
          <w:color w:val="000000"/>
          <w:lang w:eastAsia="en-AU"/>
        </w:rPr>
        <w:t xml:space="preserve"> </w:t>
      </w:r>
      <w:r>
        <w:rPr>
          <w:rFonts w:cstheme="minorBidi"/>
          <w:color w:val="000000"/>
          <w:lang w:eastAsia="en-AU"/>
        </w:rPr>
        <w:lastRenderedPageBreak/>
        <w:t>Currently, i</w:t>
      </w:r>
      <w:r w:rsidR="0034387D" w:rsidRPr="00E703B3">
        <w:rPr>
          <w:rFonts w:cstheme="minorBidi"/>
          <w:color w:val="000000"/>
          <w:lang w:eastAsia="en-AU"/>
        </w:rPr>
        <w:t xml:space="preserve">t is only at </w:t>
      </w:r>
      <w:r>
        <w:rPr>
          <w:rFonts w:cstheme="minorBidi"/>
          <w:color w:val="000000"/>
          <w:lang w:eastAsia="en-AU"/>
        </w:rPr>
        <w:t xml:space="preserve">the committal hearing </w:t>
      </w:r>
      <w:r w:rsidR="0034387D" w:rsidRPr="00E703B3">
        <w:rPr>
          <w:rFonts w:cstheme="minorBidi"/>
          <w:color w:val="000000"/>
          <w:lang w:eastAsia="en-AU"/>
        </w:rPr>
        <w:t xml:space="preserve">stage that </w:t>
      </w:r>
      <w:r w:rsidR="0034387D" w:rsidRPr="00B819F4">
        <w:rPr>
          <w:rFonts w:cstheme="minorBidi"/>
          <w:color w:val="000000"/>
          <w:lang w:eastAsia="en-AU"/>
        </w:rPr>
        <w:t xml:space="preserve">prosecutors </w:t>
      </w:r>
      <w:r w:rsidR="0034387D" w:rsidRPr="00C77C77">
        <w:rPr>
          <w:rFonts w:cstheme="minorBidi"/>
          <w:color w:val="000000"/>
          <w:lang w:eastAsia="en-AU"/>
        </w:rPr>
        <w:t xml:space="preserve">with delegated </w:t>
      </w:r>
      <w:r w:rsidR="0034387D" w:rsidRPr="0088090D">
        <w:rPr>
          <w:rFonts w:cstheme="minorBidi"/>
          <w:color w:val="000000"/>
          <w:lang w:eastAsia="en-AU"/>
        </w:rPr>
        <w:t>authority</w:t>
      </w:r>
      <w:r w:rsidR="0034387D" w:rsidRPr="0048260A">
        <w:rPr>
          <w:rFonts w:cstheme="minorBidi"/>
          <w:color w:val="000000"/>
          <w:lang w:eastAsia="en-AU"/>
        </w:rPr>
        <w:t xml:space="preserve"> </w:t>
      </w:r>
      <w:r w:rsidR="0034387D" w:rsidRPr="002B6395">
        <w:rPr>
          <w:rFonts w:cstheme="minorBidi"/>
          <w:color w:val="000000"/>
          <w:lang w:eastAsia="en-AU"/>
        </w:rPr>
        <w:t>are considering the evidence in</w:t>
      </w:r>
      <w:r w:rsidR="0034387D" w:rsidRPr="00B3040E">
        <w:rPr>
          <w:rFonts w:cstheme="minorBidi"/>
          <w:color w:val="000000"/>
          <w:lang w:eastAsia="en-AU"/>
        </w:rPr>
        <w:t xml:space="preserve"> </w:t>
      </w:r>
      <w:r w:rsidR="0034387D" w:rsidRPr="00B80182">
        <w:rPr>
          <w:rFonts w:cstheme="minorBidi"/>
          <w:color w:val="000000"/>
          <w:lang w:eastAsia="en-AU"/>
        </w:rPr>
        <w:t xml:space="preserve">any detail. </w:t>
      </w:r>
      <w:r w:rsidR="002B0E4A">
        <w:t xml:space="preserve">As a result </w:t>
      </w:r>
      <w:r w:rsidR="00021D0F">
        <w:t>matters cannot resolve as offers cannot be made and accepted.</w:t>
      </w:r>
    </w:p>
    <w:p w14:paraId="0E569EB7" w14:textId="77777777" w:rsidR="00023485" w:rsidRDefault="00023485" w:rsidP="00023485"/>
    <w:tbl>
      <w:tblPr>
        <w:tblStyle w:val="TableGrid"/>
        <w:tblW w:w="8363" w:type="dxa"/>
        <w:tblInd w:w="421" w:type="dxa"/>
        <w:tblLayout w:type="fixed"/>
        <w:tblLook w:val="06A0" w:firstRow="1" w:lastRow="0" w:firstColumn="1" w:lastColumn="0" w:noHBand="1" w:noVBand="1"/>
      </w:tblPr>
      <w:tblGrid>
        <w:gridCol w:w="8363"/>
      </w:tblGrid>
      <w:tr w:rsidR="00023485" w14:paraId="1DCC3B48" w14:textId="77777777" w:rsidTr="00F27015">
        <w:trPr>
          <w:trHeight w:val="5588"/>
        </w:trPr>
        <w:tc>
          <w:tcPr>
            <w:tcW w:w="8363" w:type="dxa"/>
          </w:tcPr>
          <w:p w14:paraId="6B65EA85" w14:textId="1F837513" w:rsidR="00023485" w:rsidRDefault="00023485" w:rsidP="00241E56">
            <w:pPr>
              <w:pStyle w:val="VLAclientexampletitle"/>
              <w:keepNext w:val="0"/>
              <w:rPr>
                <w:lang w:val="en-US"/>
              </w:rPr>
            </w:pPr>
            <w:r w:rsidRPr="003D4AF1">
              <w:rPr>
                <w:lang w:val="en-US"/>
              </w:rPr>
              <w:t>Adam and Robert</w:t>
            </w:r>
            <w:r w:rsidRPr="006314F2">
              <w:rPr>
                <w:lang w:val="en-US"/>
              </w:rPr>
              <w:t xml:space="preserve"> </w:t>
            </w:r>
            <w:r>
              <w:rPr>
                <w:lang w:val="en-US"/>
              </w:rPr>
              <w:t>–</w:t>
            </w:r>
            <w:r w:rsidR="008552E7">
              <w:rPr>
                <w:lang w:val="en-US"/>
              </w:rPr>
              <w:t xml:space="preserve"> The benefits of facilitating early </w:t>
            </w:r>
            <w:r w:rsidRPr="00B40571">
              <w:rPr>
                <w:lang w:val="en-US"/>
              </w:rPr>
              <w:t xml:space="preserve">resolution </w:t>
            </w:r>
          </w:p>
          <w:p w14:paraId="3FE2E49B" w14:textId="20E2AB30" w:rsidR="00023485" w:rsidRDefault="00023485" w:rsidP="00241E56">
            <w:pPr>
              <w:pStyle w:val="VLAclientexample"/>
              <w:rPr>
                <w:rFonts w:eastAsia="Arial"/>
                <w:lang w:val="en-US"/>
              </w:rPr>
            </w:pPr>
            <w:r w:rsidRPr="006314F2">
              <w:rPr>
                <w:rFonts w:eastAsia="Arial"/>
                <w:lang w:val="en-US"/>
              </w:rPr>
              <w:t xml:space="preserve">In these </w:t>
            </w:r>
            <w:r w:rsidRPr="00F235A9">
              <w:rPr>
                <w:rFonts w:eastAsia="Arial"/>
              </w:rPr>
              <w:t>two</w:t>
            </w:r>
            <w:r w:rsidRPr="006314F2">
              <w:rPr>
                <w:rFonts w:eastAsia="Arial"/>
                <w:lang w:val="en-US"/>
              </w:rPr>
              <w:t xml:space="preserve"> separate cases </w:t>
            </w:r>
            <w:r>
              <w:rPr>
                <w:rFonts w:eastAsia="Arial"/>
                <w:lang w:val="en-US"/>
              </w:rPr>
              <w:t xml:space="preserve">Adam* and Robert* </w:t>
            </w:r>
            <w:r w:rsidRPr="006314F2">
              <w:rPr>
                <w:rFonts w:eastAsia="Arial"/>
                <w:lang w:val="en-US"/>
              </w:rPr>
              <w:t>had been charged with murder</w:t>
            </w:r>
            <w:r>
              <w:rPr>
                <w:rFonts w:eastAsia="Arial"/>
                <w:lang w:val="en-US"/>
              </w:rPr>
              <w:t>. B</w:t>
            </w:r>
            <w:r w:rsidRPr="006314F2">
              <w:rPr>
                <w:rFonts w:eastAsia="Arial"/>
                <w:lang w:val="en-US"/>
              </w:rPr>
              <w:t>oth had raised self-</w:t>
            </w:r>
            <w:r w:rsidR="002B0E4A" w:rsidRPr="002B0E4A">
              <w:t>defence</w:t>
            </w:r>
            <w:r w:rsidRPr="006314F2">
              <w:rPr>
                <w:rFonts w:eastAsia="Arial"/>
                <w:lang w:val="en-US"/>
              </w:rPr>
              <w:t xml:space="preserve">. </w:t>
            </w:r>
            <w:r>
              <w:rPr>
                <w:rFonts w:eastAsia="Arial"/>
                <w:lang w:val="en-US"/>
              </w:rPr>
              <w:t xml:space="preserve">Both Adam and Robert </w:t>
            </w:r>
            <w:r w:rsidRPr="006314F2">
              <w:rPr>
                <w:rFonts w:eastAsia="Arial"/>
                <w:lang w:val="en-US"/>
              </w:rPr>
              <w:t xml:space="preserve">instructed </w:t>
            </w:r>
            <w:r>
              <w:rPr>
                <w:rFonts w:eastAsia="Arial"/>
                <w:lang w:val="en-US"/>
              </w:rPr>
              <w:t xml:space="preserve">their VLA lawyers </w:t>
            </w:r>
            <w:r w:rsidRPr="006314F2">
              <w:rPr>
                <w:rFonts w:eastAsia="Arial"/>
                <w:lang w:val="en-US"/>
              </w:rPr>
              <w:t xml:space="preserve">to make an offer </w:t>
            </w:r>
            <w:r>
              <w:rPr>
                <w:rFonts w:eastAsia="Arial"/>
                <w:lang w:val="en-US"/>
              </w:rPr>
              <w:t xml:space="preserve">to plead guilty to </w:t>
            </w:r>
            <w:r w:rsidRPr="006314F2">
              <w:rPr>
                <w:rFonts w:eastAsia="Arial"/>
                <w:lang w:val="en-US"/>
              </w:rPr>
              <w:t>manslaughter</w:t>
            </w:r>
            <w:r>
              <w:rPr>
                <w:rFonts w:eastAsia="Arial"/>
                <w:lang w:val="en-US"/>
              </w:rPr>
              <w:t xml:space="preserve"> in advance of the committal</w:t>
            </w:r>
            <w:r w:rsidRPr="006314F2">
              <w:rPr>
                <w:rFonts w:eastAsia="Arial"/>
                <w:lang w:val="en-US"/>
              </w:rPr>
              <w:t>.</w:t>
            </w:r>
            <w:r>
              <w:rPr>
                <w:rFonts w:eastAsia="Arial"/>
                <w:lang w:val="en-US"/>
              </w:rPr>
              <w:t xml:space="preserve"> T</w:t>
            </w:r>
            <w:r w:rsidRPr="006314F2">
              <w:rPr>
                <w:rFonts w:eastAsia="Arial"/>
                <w:lang w:val="en-US"/>
              </w:rPr>
              <w:t xml:space="preserve">he response by the </w:t>
            </w:r>
            <w:r>
              <w:rPr>
                <w:rFonts w:eastAsia="Arial"/>
                <w:lang w:val="en-US"/>
              </w:rPr>
              <w:t>c</w:t>
            </w:r>
            <w:r w:rsidRPr="006314F2">
              <w:rPr>
                <w:rFonts w:eastAsia="Arial"/>
                <w:lang w:val="en-US"/>
              </w:rPr>
              <w:t xml:space="preserve">rown was that the offer would not be considered </w:t>
            </w:r>
            <w:r>
              <w:rPr>
                <w:rFonts w:eastAsia="Arial"/>
                <w:lang w:val="en-US"/>
              </w:rPr>
              <w:t>un</w:t>
            </w:r>
            <w:r w:rsidRPr="006314F2">
              <w:rPr>
                <w:rFonts w:eastAsia="Arial"/>
                <w:lang w:val="en-US"/>
              </w:rPr>
              <w:t xml:space="preserve">til after the committal. </w:t>
            </w:r>
          </w:p>
          <w:p w14:paraId="7E68E48C" w14:textId="77777777" w:rsidR="00023485" w:rsidRPr="00F235A9" w:rsidRDefault="00023485" w:rsidP="00241E56">
            <w:pPr>
              <w:pStyle w:val="VLAclientexample"/>
              <w:rPr>
                <w:rFonts w:eastAsia="Arial"/>
              </w:rPr>
            </w:pPr>
            <w:r w:rsidRPr="006314F2">
              <w:rPr>
                <w:rFonts w:eastAsia="Arial"/>
                <w:lang w:val="en-US"/>
              </w:rPr>
              <w:t xml:space="preserve">The issue at committal was to further explore </w:t>
            </w:r>
            <w:r>
              <w:rPr>
                <w:rFonts w:eastAsia="Arial"/>
                <w:lang w:val="en-US"/>
              </w:rPr>
              <w:t>whether Adam and Robert lacked</w:t>
            </w:r>
            <w:r w:rsidRPr="006314F2">
              <w:rPr>
                <w:rFonts w:eastAsia="Arial"/>
                <w:lang w:val="en-US"/>
              </w:rPr>
              <w:t xml:space="preserve"> the intent </w:t>
            </w:r>
            <w:r>
              <w:rPr>
                <w:rFonts w:eastAsia="Arial"/>
                <w:lang w:val="en-US"/>
              </w:rPr>
              <w:t xml:space="preserve">required </w:t>
            </w:r>
            <w:r w:rsidRPr="006314F2">
              <w:rPr>
                <w:rFonts w:eastAsia="Arial"/>
                <w:lang w:val="en-US"/>
              </w:rPr>
              <w:t>for murder.</w:t>
            </w:r>
          </w:p>
          <w:p w14:paraId="1914D1B0" w14:textId="77777777" w:rsidR="00023485" w:rsidRDefault="00023485" w:rsidP="00241E56">
            <w:pPr>
              <w:pStyle w:val="VLAclientexample"/>
              <w:rPr>
                <w:rFonts w:eastAsia="Arial"/>
                <w:lang w:val="en-US"/>
              </w:rPr>
            </w:pPr>
            <w:r>
              <w:rPr>
                <w:rFonts w:eastAsia="Arial"/>
                <w:lang w:val="en-US"/>
              </w:rPr>
              <w:t>I</w:t>
            </w:r>
            <w:r w:rsidRPr="006314F2">
              <w:rPr>
                <w:rFonts w:eastAsia="Arial"/>
                <w:lang w:val="en-US"/>
              </w:rPr>
              <w:t xml:space="preserve">n Adam’s case </w:t>
            </w:r>
            <w:r>
              <w:rPr>
                <w:rFonts w:eastAsia="Arial"/>
                <w:lang w:val="en-US"/>
              </w:rPr>
              <w:t>two</w:t>
            </w:r>
            <w:r w:rsidRPr="006314F2">
              <w:rPr>
                <w:rFonts w:eastAsia="Arial"/>
                <w:lang w:val="en-US"/>
              </w:rPr>
              <w:t xml:space="preserve"> eye</w:t>
            </w:r>
            <w:r>
              <w:rPr>
                <w:rFonts w:eastAsia="Arial"/>
                <w:lang w:val="en-US"/>
              </w:rPr>
              <w:t>-</w:t>
            </w:r>
            <w:r w:rsidRPr="006314F2">
              <w:rPr>
                <w:rFonts w:eastAsia="Arial"/>
                <w:lang w:val="en-US"/>
              </w:rPr>
              <w:t xml:space="preserve">witnesses and a pathologist were called. The first committal hearing had to be </w:t>
            </w:r>
            <w:r w:rsidRPr="00F235A9">
              <w:rPr>
                <w:rFonts w:eastAsia="Arial"/>
              </w:rPr>
              <w:t>adjourned</w:t>
            </w:r>
            <w:r w:rsidRPr="006314F2">
              <w:rPr>
                <w:rFonts w:eastAsia="Arial"/>
                <w:lang w:val="en-US"/>
              </w:rPr>
              <w:t xml:space="preserve"> as the </w:t>
            </w:r>
            <w:r>
              <w:rPr>
                <w:rFonts w:eastAsia="Arial"/>
                <w:lang w:val="en-US"/>
              </w:rPr>
              <w:t>p</w:t>
            </w:r>
            <w:r w:rsidRPr="006314F2">
              <w:rPr>
                <w:rFonts w:eastAsia="Arial"/>
                <w:lang w:val="en-US"/>
              </w:rPr>
              <w:t xml:space="preserve">rosecution had </w:t>
            </w:r>
            <w:r w:rsidRPr="1D45A501">
              <w:rPr>
                <w:rFonts w:eastAsia="Arial"/>
                <w:lang w:val="en-US"/>
              </w:rPr>
              <w:t xml:space="preserve">not secured independent legal advice about self-incrimination for the </w:t>
            </w:r>
            <w:r w:rsidRPr="005A3445">
              <w:rPr>
                <w:rFonts w:eastAsia="Arial"/>
                <w:lang w:val="en-US"/>
              </w:rPr>
              <w:t>witnes</w:t>
            </w:r>
            <w:r w:rsidRPr="006314F2">
              <w:rPr>
                <w:rFonts w:eastAsia="Arial"/>
                <w:lang w:val="en-US"/>
              </w:rPr>
              <w:t xml:space="preserve">s. </w:t>
            </w:r>
            <w:r>
              <w:rPr>
                <w:rFonts w:eastAsia="Arial"/>
                <w:lang w:val="en-US"/>
              </w:rPr>
              <w:t xml:space="preserve">Adam’s lawyer remade his offer in advance of the </w:t>
            </w:r>
            <w:r w:rsidRPr="006314F2">
              <w:rPr>
                <w:rFonts w:eastAsia="Arial"/>
                <w:lang w:val="en-US"/>
              </w:rPr>
              <w:t xml:space="preserve">second committal hearing. </w:t>
            </w:r>
          </w:p>
          <w:p w14:paraId="4EBD061B" w14:textId="7266B951" w:rsidR="00023485" w:rsidRDefault="00023485" w:rsidP="00241E56">
            <w:pPr>
              <w:pStyle w:val="VLAclientexample"/>
              <w:rPr>
                <w:rFonts w:eastAsia="Arial"/>
                <w:lang w:val="en-US"/>
              </w:rPr>
            </w:pPr>
            <w:r w:rsidRPr="006314F2">
              <w:rPr>
                <w:rFonts w:eastAsia="Arial"/>
                <w:lang w:val="en-US"/>
              </w:rPr>
              <w:t>In Robert’s case only a pathologist was cross-examined</w:t>
            </w:r>
            <w:r w:rsidR="001C6F08">
              <w:rPr>
                <w:rFonts w:eastAsia="Arial"/>
                <w:lang w:val="en-US"/>
              </w:rPr>
              <w:t xml:space="preserve"> at committal</w:t>
            </w:r>
            <w:r w:rsidRPr="006314F2">
              <w:rPr>
                <w:rFonts w:eastAsia="Arial"/>
                <w:lang w:val="en-US"/>
              </w:rPr>
              <w:t xml:space="preserve">. </w:t>
            </w:r>
          </w:p>
          <w:p w14:paraId="44A02A5A" w14:textId="5D53BC54" w:rsidR="00023485" w:rsidRDefault="00023485" w:rsidP="00241E56">
            <w:pPr>
              <w:pStyle w:val="VLAclientexample"/>
              <w:rPr>
                <w:rFonts w:eastAsia="Arial"/>
                <w:lang w:val="en-US"/>
              </w:rPr>
            </w:pPr>
            <w:r w:rsidRPr="006314F2">
              <w:rPr>
                <w:rFonts w:eastAsia="Arial"/>
                <w:lang w:val="en-US"/>
              </w:rPr>
              <w:t>In both cases the offer</w:t>
            </w:r>
            <w:r>
              <w:rPr>
                <w:rFonts w:eastAsia="Arial"/>
                <w:lang w:val="en-US"/>
              </w:rPr>
              <w:t>s</w:t>
            </w:r>
            <w:r w:rsidRPr="006314F2">
              <w:rPr>
                <w:rFonts w:eastAsia="Arial"/>
                <w:lang w:val="en-US"/>
              </w:rPr>
              <w:t xml:space="preserve"> w</w:t>
            </w:r>
            <w:r>
              <w:rPr>
                <w:rFonts w:eastAsia="Arial"/>
                <w:lang w:val="en-US"/>
              </w:rPr>
              <w:t>ere</w:t>
            </w:r>
            <w:r w:rsidRPr="006314F2">
              <w:rPr>
                <w:rFonts w:eastAsia="Arial"/>
                <w:lang w:val="en-US"/>
              </w:rPr>
              <w:t xml:space="preserve"> accepted post committal. This</w:t>
            </w:r>
            <w:r w:rsidR="00005428">
              <w:rPr>
                <w:rFonts w:eastAsia="Arial"/>
                <w:lang w:val="en-US"/>
              </w:rPr>
              <w:t xml:space="preserve"> </w:t>
            </w:r>
            <w:r>
              <w:rPr>
                <w:rFonts w:eastAsia="Arial"/>
                <w:lang w:val="en-US"/>
              </w:rPr>
              <w:t>avoided</w:t>
            </w:r>
            <w:r w:rsidRPr="006314F2">
              <w:rPr>
                <w:rFonts w:eastAsia="Arial"/>
                <w:lang w:val="en-US"/>
              </w:rPr>
              <w:t xml:space="preserve"> the need for a 15-20 day trial and the deceased’s family were spared the trauma </w:t>
            </w:r>
            <w:r>
              <w:rPr>
                <w:rFonts w:eastAsia="Arial"/>
                <w:lang w:val="en-US"/>
              </w:rPr>
              <w:t>of going through</w:t>
            </w:r>
            <w:r w:rsidRPr="006314F2">
              <w:rPr>
                <w:rFonts w:eastAsia="Arial"/>
                <w:lang w:val="en-US"/>
              </w:rPr>
              <w:t xml:space="preserve"> a trial.</w:t>
            </w:r>
          </w:p>
          <w:p w14:paraId="4F8591CA" w14:textId="77777777" w:rsidR="00023485" w:rsidRDefault="00023485" w:rsidP="008552E7"/>
          <w:p w14:paraId="5236DD14" w14:textId="77777777" w:rsidR="00023485" w:rsidRPr="006314F2" w:rsidRDefault="00023485" w:rsidP="00241E56">
            <w:pPr>
              <w:pStyle w:val="VLAclientexample"/>
              <w:rPr>
                <w:lang w:val="en-US"/>
              </w:rPr>
            </w:pPr>
            <w:r w:rsidRPr="006314F2">
              <w:rPr>
                <w:rFonts w:eastAsia="Arial"/>
                <w:lang w:val="en-US"/>
              </w:rPr>
              <w:t xml:space="preserve">*VLA clients, not their real names. </w:t>
            </w:r>
          </w:p>
        </w:tc>
      </w:tr>
    </w:tbl>
    <w:p w14:paraId="1F221192" w14:textId="77777777" w:rsidR="00023485" w:rsidRPr="00021D0F" w:rsidRDefault="00023485" w:rsidP="00023485"/>
    <w:p w14:paraId="06CC00EF" w14:textId="56CA80C5" w:rsidR="00FF11F3" w:rsidRPr="00D0625D" w:rsidRDefault="00EB65AE" w:rsidP="0034387D">
      <w:pPr>
        <w:pStyle w:val="VLADocumentText"/>
        <w:rPr>
          <w:rFonts w:cstheme="minorBidi"/>
          <w:color w:val="000000"/>
          <w:lang w:eastAsia="en-AU"/>
        </w:rPr>
      </w:pPr>
      <w:r>
        <w:t xml:space="preserve">We consider that this </w:t>
      </w:r>
      <w:r w:rsidR="00F858D3">
        <w:t xml:space="preserve">early </w:t>
      </w:r>
      <w:r w:rsidR="003F107A">
        <w:t xml:space="preserve">engagement will be </w:t>
      </w:r>
      <w:r w:rsidR="00FF11F3">
        <w:t xml:space="preserve">particularly important if the VLRC does not </w:t>
      </w:r>
      <w:r w:rsidR="007F0DDE">
        <w:t xml:space="preserve">support </w:t>
      </w:r>
      <w:r w:rsidR="00FF11F3">
        <w:t>our recommendation</w:t>
      </w:r>
      <w:r w:rsidR="007F0DDE">
        <w:t xml:space="preserve">s </w:t>
      </w:r>
      <w:r w:rsidR="00984CCC">
        <w:t>regarding</w:t>
      </w:r>
      <w:r w:rsidR="007F0DDE">
        <w:t xml:space="preserve"> </w:t>
      </w:r>
      <w:r w:rsidR="00D34B37">
        <w:t>supervision and certification by the prosecution of the charges and disclosure obligations</w:t>
      </w:r>
    </w:p>
    <w:p w14:paraId="4701B17C" w14:textId="07F8744F" w:rsidR="0034387D" w:rsidRPr="006623FE" w:rsidRDefault="0034387D" w:rsidP="0034387D">
      <w:pPr>
        <w:pStyle w:val="VLADocumentText"/>
        <w:rPr>
          <w:rFonts w:cstheme="minorBidi"/>
          <w:color w:val="000000"/>
          <w:lang w:eastAsia="en-AU"/>
        </w:rPr>
      </w:pPr>
      <w:r w:rsidRPr="00D0625D">
        <w:rPr>
          <w:rFonts w:cstheme="minorBidi"/>
          <w:color w:val="000000"/>
          <w:lang w:eastAsia="en-AU"/>
        </w:rPr>
        <w:t xml:space="preserve">VLA accepts further work can </w:t>
      </w:r>
      <w:r w:rsidR="00984CCC">
        <w:rPr>
          <w:rFonts w:cstheme="minorBidi"/>
          <w:color w:val="000000"/>
          <w:lang w:eastAsia="en-AU"/>
        </w:rPr>
        <w:t xml:space="preserve">also </w:t>
      </w:r>
      <w:r w:rsidRPr="00D0625D">
        <w:rPr>
          <w:rFonts w:cstheme="minorBidi"/>
          <w:color w:val="000000"/>
          <w:lang w:eastAsia="en-AU"/>
        </w:rPr>
        <w:t>be done by the pr</w:t>
      </w:r>
      <w:r w:rsidRPr="00015C3F">
        <w:rPr>
          <w:rFonts w:cstheme="minorBidi"/>
          <w:color w:val="000000"/>
          <w:lang w:eastAsia="en-AU"/>
        </w:rPr>
        <w:t xml:space="preserve">ofession in terms of training and support to assist </w:t>
      </w:r>
      <w:r w:rsidRPr="00770D16">
        <w:rPr>
          <w:rFonts w:cstheme="minorBidi"/>
          <w:color w:val="000000"/>
          <w:lang w:eastAsia="en-AU"/>
        </w:rPr>
        <w:t>defence</w:t>
      </w:r>
      <w:r w:rsidRPr="00E843F2">
        <w:rPr>
          <w:rFonts w:cstheme="minorBidi"/>
          <w:color w:val="000000"/>
          <w:lang w:eastAsia="en-AU"/>
        </w:rPr>
        <w:t xml:space="preserve"> practitioners </w:t>
      </w:r>
      <w:r w:rsidRPr="00AB7070">
        <w:rPr>
          <w:rFonts w:cstheme="minorBidi"/>
          <w:color w:val="000000"/>
          <w:lang w:eastAsia="en-AU"/>
        </w:rPr>
        <w:t>to identify issues early and continue</w:t>
      </w:r>
      <w:r w:rsidRPr="00375936">
        <w:rPr>
          <w:rFonts w:cstheme="minorBidi"/>
          <w:color w:val="000000"/>
          <w:lang w:eastAsia="en-AU"/>
        </w:rPr>
        <w:t xml:space="preserve"> to be active in </w:t>
      </w:r>
      <w:r w:rsidRPr="00B1640B">
        <w:rPr>
          <w:rFonts w:cstheme="minorBidi"/>
          <w:color w:val="000000"/>
          <w:lang w:eastAsia="en-AU"/>
        </w:rPr>
        <w:t xml:space="preserve">discussing resolution. VLA </w:t>
      </w:r>
      <w:r w:rsidR="00D63782">
        <w:rPr>
          <w:rFonts w:cstheme="minorBidi"/>
          <w:color w:val="000000"/>
          <w:lang w:eastAsia="en-AU"/>
        </w:rPr>
        <w:t xml:space="preserve">has already </w:t>
      </w:r>
      <w:r w:rsidR="00FF781B">
        <w:rPr>
          <w:rFonts w:cstheme="minorBidi"/>
          <w:color w:val="000000"/>
          <w:lang w:eastAsia="en-AU"/>
        </w:rPr>
        <w:t>commenced this process with the</w:t>
      </w:r>
      <w:r w:rsidRPr="00B1640B">
        <w:rPr>
          <w:rFonts w:cstheme="minorBidi"/>
          <w:color w:val="000000"/>
          <w:lang w:eastAsia="en-AU"/>
        </w:rPr>
        <w:t xml:space="preserve"> reforms implement</w:t>
      </w:r>
      <w:r w:rsidRPr="00BB67D7">
        <w:rPr>
          <w:rFonts w:cstheme="minorBidi"/>
          <w:color w:val="000000"/>
          <w:lang w:eastAsia="en-AU"/>
        </w:rPr>
        <w:t xml:space="preserve">ed as a result of </w:t>
      </w:r>
      <w:r w:rsidR="00984CCC">
        <w:rPr>
          <w:rFonts w:cstheme="minorBidi"/>
          <w:color w:val="000000"/>
          <w:lang w:eastAsia="en-AU"/>
        </w:rPr>
        <w:t>our</w:t>
      </w:r>
      <w:r w:rsidR="00984CCC" w:rsidRPr="00984CCC">
        <w:rPr>
          <w:rFonts w:cstheme="minorBidi"/>
          <w:color w:val="000000"/>
          <w:lang w:eastAsia="en-AU"/>
        </w:rPr>
        <w:t xml:space="preserve"> Delivering High Quality Criminal Trials (</w:t>
      </w:r>
      <w:r w:rsidRPr="00BB67D7">
        <w:rPr>
          <w:rFonts w:cstheme="minorBidi"/>
          <w:color w:val="000000"/>
          <w:lang w:eastAsia="en-AU"/>
        </w:rPr>
        <w:t>DHQCT</w:t>
      </w:r>
      <w:r w:rsidR="00984CCC" w:rsidRPr="00984CCC">
        <w:rPr>
          <w:rFonts w:cstheme="minorBidi"/>
          <w:color w:val="000000"/>
          <w:lang w:eastAsia="en-AU"/>
        </w:rPr>
        <w:t xml:space="preserve">) </w:t>
      </w:r>
      <w:r w:rsidR="008425B9">
        <w:rPr>
          <w:rFonts w:cstheme="minorBidi"/>
          <w:color w:val="000000"/>
          <w:lang w:eastAsia="en-AU"/>
        </w:rPr>
        <w:t>including</w:t>
      </w:r>
      <w:r w:rsidR="00000FAE">
        <w:rPr>
          <w:rFonts w:cstheme="minorBidi"/>
          <w:color w:val="000000"/>
          <w:lang w:eastAsia="en-AU"/>
        </w:rPr>
        <w:t>:</w:t>
      </w:r>
      <w:r w:rsidRPr="00173E71">
        <w:rPr>
          <w:rFonts w:cstheme="minorBidi"/>
          <w:color w:val="000000" w:themeColor="text1"/>
          <w:vertAlign w:val="superscript"/>
          <w:lang w:eastAsia="en-AU"/>
        </w:rPr>
        <w:footnoteReference w:id="29"/>
      </w:r>
    </w:p>
    <w:p w14:paraId="2702B691" w14:textId="1A834CD8" w:rsidR="0034387D" w:rsidRPr="008F09FB" w:rsidRDefault="0034387D" w:rsidP="0034387D">
      <w:pPr>
        <w:pStyle w:val="VLADocumentText"/>
        <w:numPr>
          <w:ilvl w:val="0"/>
          <w:numId w:val="16"/>
        </w:numPr>
        <w:spacing w:before="60"/>
        <w:ind w:left="714" w:hanging="357"/>
      </w:pPr>
      <w:r w:rsidRPr="008F09FB">
        <w:t>creation of brief analysis tool and consequent roll out of training</w:t>
      </w:r>
      <w:r w:rsidR="00DE774C">
        <w:t>;</w:t>
      </w:r>
    </w:p>
    <w:p w14:paraId="2E22AE52" w14:textId="3A27C519" w:rsidR="0034387D" w:rsidRPr="008F09FB" w:rsidRDefault="0034387D" w:rsidP="0034387D">
      <w:pPr>
        <w:pStyle w:val="VLADocumentText"/>
        <w:numPr>
          <w:ilvl w:val="0"/>
          <w:numId w:val="16"/>
        </w:numPr>
        <w:spacing w:before="60"/>
        <w:ind w:left="714" w:hanging="357"/>
      </w:pPr>
      <w:r w:rsidRPr="008F09FB">
        <w:t>brief analysis fee to encourage early analysis and preparation</w:t>
      </w:r>
      <w:r w:rsidR="00DE774C">
        <w:t>;</w:t>
      </w:r>
    </w:p>
    <w:p w14:paraId="03864ADF" w14:textId="31BAE2DA" w:rsidR="0034387D" w:rsidRPr="008F09FB" w:rsidRDefault="0034387D" w:rsidP="0034387D">
      <w:pPr>
        <w:pStyle w:val="VLADocumentText"/>
        <w:numPr>
          <w:ilvl w:val="0"/>
          <w:numId w:val="16"/>
        </w:numPr>
        <w:spacing w:before="60"/>
        <w:ind w:left="714" w:hanging="357"/>
      </w:pPr>
      <w:r>
        <w:t>encouragement of early briefing practices</w:t>
      </w:r>
      <w:r w:rsidR="00DE774C">
        <w:t xml:space="preserve">; and </w:t>
      </w:r>
    </w:p>
    <w:p w14:paraId="51F300A3" w14:textId="6B4FBAF1" w:rsidR="0034387D" w:rsidRPr="006776FC" w:rsidRDefault="00DE774C" w:rsidP="0034387D">
      <w:pPr>
        <w:pStyle w:val="VLADocumentText"/>
        <w:numPr>
          <w:ilvl w:val="0"/>
          <w:numId w:val="16"/>
        </w:numPr>
        <w:spacing w:before="60"/>
        <w:ind w:left="714" w:hanging="357"/>
        <w:rPr>
          <w:rFonts w:cstheme="minorBidi"/>
          <w:color w:val="000000"/>
          <w:lang w:eastAsia="en-AU"/>
        </w:rPr>
      </w:pPr>
      <w:r>
        <w:t xml:space="preserve">providing for </w:t>
      </w:r>
      <w:r w:rsidR="0034387D">
        <w:t xml:space="preserve">continuity </w:t>
      </w:r>
      <w:r w:rsidR="007E3510">
        <w:t xml:space="preserve">and quality </w:t>
      </w:r>
      <w:r w:rsidR="0034387D">
        <w:t>of counsel</w:t>
      </w:r>
      <w:r w:rsidR="0034387D" w:rsidRPr="008B30CD">
        <w:rPr>
          <w:rFonts w:cstheme="minorBidi"/>
          <w:color w:val="000000"/>
          <w:lang w:eastAsia="en-AU"/>
        </w:rPr>
        <w:t>.</w:t>
      </w:r>
    </w:p>
    <w:p w14:paraId="27E95E68" w14:textId="77777777" w:rsidR="00A36271" w:rsidRDefault="00246F29" w:rsidP="003D210C">
      <w:pPr>
        <w:pStyle w:val="VLADocumentText"/>
        <w:rPr>
          <w:rFonts w:cstheme="minorHAnsi"/>
          <w:color w:val="000000"/>
          <w:lang w:eastAsia="en-AU"/>
        </w:rPr>
      </w:pPr>
      <w:r>
        <w:rPr>
          <w:rFonts w:cstheme="minorHAnsi"/>
          <w:color w:val="000000"/>
          <w:lang w:eastAsia="en-AU"/>
        </w:rPr>
        <w:t xml:space="preserve">There are a number of procedural steps that may support early resolution. However, agencies have limited resources </w:t>
      </w:r>
      <w:r w:rsidR="00960938">
        <w:rPr>
          <w:rFonts w:cstheme="minorHAnsi"/>
          <w:color w:val="000000"/>
          <w:lang w:eastAsia="en-AU"/>
        </w:rPr>
        <w:t>to allocate</w:t>
      </w:r>
      <w:r>
        <w:rPr>
          <w:rFonts w:cstheme="minorHAnsi"/>
          <w:color w:val="000000"/>
          <w:lang w:eastAsia="en-AU"/>
        </w:rPr>
        <w:t xml:space="preserve"> </w:t>
      </w:r>
      <w:proofErr w:type="gramStart"/>
      <w:r>
        <w:rPr>
          <w:rFonts w:cstheme="minorHAnsi"/>
          <w:color w:val="000000"/>
          <w:lang w:eastAsia="en-AU"/>
        </w:rPr>
        <w:t xml:space="preserve">to </w:t>
      </w:r>
      <w:r w:rsidR="00960938">
        <w:rPr>
          <w:rFonts w:cstheme="minorHAnsi"/>
          <w:color w:val="000000"/>
          <w:lang w:eastAsia="en-AU"/>
        </w:rPr>
        <w:t>supporting</w:t>
      </w:r>
      <w:proofErr w:type="gramEnd"/>
      <w:r w:rsidR="00960938">
        <w:rPr>
          <w:rFonts w:cstheme="minorHAnsi"/>
          <w:color w:val="000000"/>
          <w:lang w:eastAsia="en-AU"/>
        </w:rPr>
        <w:t xml:space="preserve"> early resolution within existing </w:t>
      </w:r>
      <w:r w:rsidR="00EF7C35">
        <w:rPr>
          <w:rFonts w:cstheme="minorHAnsi"/>
          <w:color w:val="000000"/>
          <w:lang w:eastAsia="en-AU"/>
        </w:rPr>
        <w:t xml:space="preserve">service and staffing </w:t>
      </w:r>
      <w:r w:rsidR="00960938">
        <w:rPr>
          <w:rFonts w:cstheme="minorHAnsi"/>
          <w:color w:val="000000"/>
          <w:lang w:eastAsia="en-AU"/>
        </w:rPr>
        <w:t>structures.</w:t>
      </w:r>
      <w:r>
        <w:rPr>
          <w:rFonts w:cstheme="minorHAnsi"/>
          <w:color w:val="000000"/>
          <w:lang w:eastAsia="en-AU"/>
        </w:rPr>
        <w:t xml:space="preserve"> </w:t>
      </w:r>
      <w:r w:rsidR="00884A9B">
        <w:rPr>
          <w:rFonts w:cstheme="minorHAnsi"/>
          <w:color w:val="000000"/>
          <w:lang w:eastAsia="en-AU"/>
        </w:rPr>
        <w:t xml:space="preserve">Additional </w:t>
      </w:r>
      <w:r w:rsidR="0034387D">
        <w:rPr>
          <w:rFonts w:cstheme="minorHAnsi"/>
          <w:color w:val="000000"/>
          <w:lang w:eastAsia="en-AU"/>
        </w:rPr>
        <w:t>funding</w:t>
      </w:r>
      <w:r w:rsidR="002A595F">
        <w:rPr>
          <w:rFonts w:cstheme="minorHAnsi"/>
          <w:color w:val="000000"/>
          <w:lang w:eastAsia="en-AU"/>
        </w:rPr>
        <w:t xml:space="preserve"> </w:t>
      </w:r>
      <w:r w:rsidR="0034387D">
        <w:rPr>
          <w:rFonts w:cstheme="minorHAnsi"/>
          <w:color w:val="000000"/>
          <w:lang w:eastAsia="en-AU"/>
        </w:rPr>
        <w:t>which</w:t>
      </w:r>
      <w:r w:rsidR="00785D6B">
        <w:rPr>
          <w:rFonts w:cstheme="minorHAnsi"/>
          <w:color w:val="000000"/>
          <w:lang w:eastAsia="en-AU"/>
        </w:rPr>
        <w:t xml:space="preserve"> </w:t>
      </w:r>
      <w:r w:rsidR="00884A9B">
        <w:rPr>
          <w:rFonts w:cstheme="minorHAnsi"/>
          <w:color w:val="000000"/>
          <w:lang w:eastAsia="en-AU"/>
        </w:rPr>
        <w:t>targets</w:t>
      </w:r>
      <w:r w:rsidR="0034387D">
        <w:rPr>
          <w:rFonts w:cstheme="minorHAnsi"/>
          <w:color w:val="000000"/>
          <w:lang w:eastAsia="en-AU"/>
        </w:rPr>
        <w:t xml:space="preserve"> </w:t>
      </w:r>
      <w:r w:rsidR="00785D6B">
        <w:rPr>
          <w:rFonts w:cstheme="minorHAnsi"/>
          <w:color w:val="000000"/>
          <w:lang w:eastAsia="en-AU"/>
        </w:rPr>
        <w:t xml:space="preserve">and incentivises early preparation and resolution </w:t>
      </w:r>
      <w:r w:rsidR="0034387D">
        <w:rPr>
          <w:rFonts w:cstheme="minorHAnsi"/>
          <w:color w:val="000000"/>
          <w:lang w:eastAsia="en-AU"/>
        </w:rPr>
        <w:t>is required</w:t>
      </w:r>
      <w:r w:rsidR="001F52D6">
        <w:rPr>
          <w:rFonts w:cstheme="minorHAnsi"/>
          <w:color w:val="000000"/>
          <w:lang w:eastAsia="en-AU"/>
        </w:rPr>
        <w:t xml:space="preserve">, such as </w:t>
      </w:r>
      <w:r w:rsidR="00EF7C35">
        <w:rPr>
          <w:rFonts w:cstheme="minorHAnsi"/>
          <w:color w:val="000000"/>
          <w:lang w:eastAsia="en-AU"/>
        </w:rPr>
        <w:t xml:space="preserve">that </w:t>
      </w:r>
      <w:r w:rsidR="00884A9B">
        <w:rPr>
          <w:rFonts w:cstheme="minorHAnsi"/>
          <w:color w:val="000000"/>
          <w:lang w:eastAsia="en-AU"/>
        </w:rPr>
        <w:t xml:space="preserve">provided to support </w:t>
      </w:r>
      <w:r w:rsidR="001F52D6">
        <w:rPr>
          <w:rFonts w:cstheme="minorHAnsi"/>
          <w:color w:val="000000"/>
          <w:lang w:eastAsia="en-AU"/>
        </w:rPr>
        <w:t>the NSW Early Appropriate Guilty Plea initiative</w:t>
      </w:r>
      <w:r w:rsidR="006A597E">
        <w:rPr>
          <w:rFonts w:cstheme="minorHAnsi"/>
          <w:color w:val="000000"/>
          <w:lang w:eastAsia="en-AU"/>
        </w:rPr>
        <w:t xml:space="preserve"> (see below)</w:t>
      </w:r>
      <w:r w:rsidR="0034387D">
        <w:rPr>
          <w:rFonts w:cstheme="minorHAnsi"/>
          <w:color w:val="000000"/>
          <w:lang w:eastAsia="en-AU"/>
        </w:rPr>
        <w:t xml:space="preserve">. </w:t>
      </w:r>
    </w:p>
    <w:p w14:paraId="5429C66C" w14:textId="7BAE3D93" w:rsidR="00F840B5" w:rsidRDefault="00871354" w:rsidP="00C239D9">
      <w:pPr>
        <w:pStyle w:val="VLADocumentText"/>
        <w:rPr>
          <w:lang w:eastAsia="en-AU"/>
        </w:rPr>
      </w:pPr>
      <w:r>
        <w:rPr>
          <w:rFonts w:cs="Arial"/>
          <w:lang w:eastAsia="en-AU"/>
        </w:rPr>
        <w:t>I</w:t>
      </w:r>
      <w:r w:rsidR="00260BB6" w:rsidRPr="00E44D59">
        <w:rPr>
          <w:rFonts w:cs="Arial"/>
          <w:lang w:eastAsia="en-AU"/>
        </w:rPr>
        <w:t xml:space="preserve">nterstate legal practitioners </w:t>
      </w:r>
      <w:r w:rsidR="00260BB6">
        <w:rPr>
          <w:rFonts w:cs="Arial"/>
          <w:lang w:eastAsia="en-AU"/>
        </w:rPr>
        <w:t>cite</w:t>
      </w:r>
      <w:r w:rsidR="00260BB6" w:rsidRPr="00E44D59">
        <w:rPr>
          <w:rFonts w:cs="Arial"/>
          <w:lang w:eastAsia="en-AU"/>
        </w:rPr>
        <w:t xml:space="preserve"> the ability to engage with the </w:t>
      </w:r>
      <w:r w:rsidR="00260BB6">
        <w:rPr>
          <w:rFonts w:cs="Arial"/>
          <w:lang w:eastAsia="en-AU"/>
        </w:rPr>
        <w:t>p</w:t>
      </w:r>
      <w:r w:rsidR="00260BB6" w:rsidRPr="00E44D59">
        <w:rPr>
          <w:rFonts w:cs="Arial"/>
          <w:lang w:eastAsia="en-AU"/>
        </w:rPr>
        <w:t>rosecution at an early stage of the committal process</w:t>
      </w:r>
      <w:r w:rsidR="00260BB6">
        <w:rPr>
          <w:rFonts w:cs="Arial"/>
          <w:lang w:eastAsia="en-AU"/>
        </w:rPr>
        <w:t xml:space="preserve">, and access to senior prosecutors with delegated authority to resolve </w:t>
      </w:r>
      <w:r w:rsidR="00260BB6">
        <w:rPr>
          <w:rFonts w:cs="Arial"/>
          <w:lang w:eastAsia="en-AU"/>
        </w:rPr>
        <w:lastRenderedPageBreak/>
        <w:t>matters,</w:t>
      </w:r>
      <w:r w:rsidR="00260BB6" w:rsidRPr="00E44D59">
        <w:rPr>
          <w:rFonts w:cs="Arial"/>
          <w:lang w:eastAsia="en-AU"/>
        </w:rPr>
        <w:t xml:space="preserve"> as being crucial when engaging in early plea negotiations</w:t>
      </w:r>
      <w:r w:rsidR="00260BB6">
        <w:rPr>
          <w:rFonts w:cs="Arial"/>
          <w:lang w:eastAsia="en-AU"/>
        </w:rPr>
        <w:t xml:space="preserve">. </w:t>
      </w:r>
      <w:r w:rsidR="00260BB6">
        <w:rPr>
          <w:lang w:eastAsia="en-AU"/>
        </w:rPr>
        <w:t>T</w:t>
      </w:r>
      <w:r w:rsidR="00260BB6" w:rsidRPr="00E44D59">
        <w:rPr>
          <w:lang w:eastAsia="en-AU"/>
        </w:rPr>
        <w:t>he NSW</w:t>
      </w:r>
      <w:r w:rsidR="00260BB6">
        <w:rPr>
          <w:lang w:eastAsia="en-AU"/>
        </w:rPr>
        <w:t xml:space="preserve"> </w:t>
      </w:r>
      <w:r w:rsidR="00260BB6" w:rsidRPr="00E44D59">
        <w:rPr>
          <w:lang w:eastAsia="en-AU"/>
        </w:rPr>
        <w:t>O</w:t>
      </w:r>
      <w:r w:rsidR="00260BB6">
        <w:rPr>
          <w:lang w:eastAsia="en-AU"/>
        </w:rPr>
        <w:t xml:space="preserve">ffice of the </w:t>
      </w:r>
      <w:r w:rsidR="00260BB6" w:rsidRPr="00E44D59">
        <w:rPr>
          <w:lang w:eastAsia="en-AU"/>
        </w:rPr>
        <w:t>D</w:t>
      </w:r>
      <w:r w:rsidR="00260BB6">
        <w:rPr>
          <w:lang w:eastAsia="en-AU"/>
        </w:rPr>
        <w:t xml:space="preserve">irector of </w:t>
      </w:r>
      <w:r w:rsidR="00260BB6" w:rsidRPr="00E44D59">
        <w:rPr>
          <w:lang w:eastAsia="en-AU"/>
        </w:rPr>
        <w:t>P</w:t>
      </w:r>
      <w:r w:rsidR="00260BB6">
        <w:rPr>
          <w:lang w:eastAsia="en-AU"/>
        </w:rPr>
        <w:t xml:space="preserve">ublic </w:t>
      </w:r>
      <w:r w:rsidR="00260BB6" w:rsidRPr="00E44D59">
        <w:rPr>
          <w:lang w:eastAsia="en-AU"/>
        </w:rPr>
        <w:t>P</w:t>
      </w:r>
      <w:r w:rsidR="00260BB6">
        <w:rPr>
          <w:lang w:eastAsia="en-AU"/>
        </w:rPr>
        <w:t>rosecutions (</w:t>
      </w:r>
      <w:r w:rsidR="00260BB6" w:rsidRPr="00E44D59">
        <w:rPr>
          <w:lang w:eastAsia="en-AU"/>
        </w:rPr>
        <w:t>ODPP</w:t>
      </w:r>
      <w:r w:rsidR="00260BB6">
        <w:rPr>
          <w:lang w:eastAsia="en-AU"/>
        </w:rPr>
        <w:t>)</w:t>
      </w:r>
      <w:r w:rsidR="00260BB6" w:rsidRPr="00E44D59">
        <w:rPr>
          <w:lang w:eastAsia="en-AU"/>
        </w:rPr>
        <w:t xml:space="preserve"> employ 109 Crown Prosecutors. Each of these Counsel are </w:t>
      </w:r>
      <w:r w:rsidR="00C239D9">
        <w:rPr>
          <w:lang w:eastAsia="en-AU"/>
        </w:rPr>
        <w:t>s</w:t>
      </w:r>
      <w:r w:rsidR="00260BB6" w:rsidRPr="00E44D59">
        <w:rPr>
          <w:lang w:eastAsia="en-AU"/>
        </w:rPr>
        <w:t xml:space="preserve">tatutory </w:t>
      </w:r>
      <w:r w:rsidR="00C239D9">
        <w:rPr>
          <w:lang w:eastAsia="en-AU"/>
        </w:rPr>
        <w:t>o</w:t>
      </w:r>
      <w:r w:rsidR="00260BB6" w:rsidRPr="00E44D59">
        <w:rPr>
          <w:lang w:eastAsia="en-AU"/>
        </w:rPr>
        <w:t xml:space="preserve">ffice holders and together they form the largest ‘floor’ of criminal barristers in the </w:t>
      </w:r>
      <w:r w:rsidR="006940D3">
        <w:rPr>
          <w:lang w:eastAsia="en-AU"/>
        </w:rPr>
        <w:t>s</w:t>
      </w:r>
      <w:r w:rsidR="00260BB6" w:rsidRPr="00E44D59">
        <w:rPr>
          <w:lang w:eastAsia="en-AU"/>
        </w:rPr>
        <w:t>tate.</w:t>
      </w:r>
      <w:r w:rsidR="00260BB6" w:rsidRPr="00E44D59">
        <w:rPr>
          <w:rStyle w:val="FootnoteReference"/>
          <w:rFonts w:cs="Arial"/>
          <w:lang w:eastAsia="en-AU"/>
        </w:rPr>
        <w:footnoteReference w:id="30"/>
      </w:r>
      <w:r w:rsidR="00260BB6" w:rsidRPr="00E44D59">
        <w:rPr>
          <w:lang w:eastAsia="en-AU"/>
        </w:rPr>
        <w:t xml:space="preserve"> This means each </w:t>
      </w:r>
      <w:r w:rsidR="006940D3">
        <w:rPr>
          <w:lang w:eastAsia="en-AU"/>
        </w:rPr>
        <w:t>c</w:t>
      </w:r>
      <w:r w:rsidR="00260BB6" w:rsidRPr="00E44D59">
        <w:rPr>
          <w:lang w:eastAsia="en-AU"/>
        </w:rPr>
        <w:t xml:space="preserve">ounsel who engages in early case conferencing has the necessary delegated authority of the Director to approve a resolution. </w:t>
      </w:r>
    </w:p>
    <w:p w14:paraId="7366E352" w14:textId="4B1A7C46" w:rsidR="00C340E3" w:rsidRPr="000F7010" w:rsidRDefault="00260BB6" w:rsidP="00C340E3">
      <w:pPr>
        <w:pStyle w:val="VLADocumentText"/>
      </w:pPr>
      <w:r w:rsidRPr="00E44D59">
        <w:rPr>
          <w:lang w:eastAsia="en-AU"/>
        </w:rPr>
        <w:t>Crown Prosecutors are salaried and are free of the financial considerations that arise from a funding model that favours the ‘first trial day’.</w:t>
      </w:r>
      <w:r>
        <w:rPr>
          <w:lang w:eastAsia="en-AU"/>
        </w:rPr>
        <w:t xml:space="preserve"> This is an important cultural factor as it shifts the focus away from milestone hearings</w:t>
      </w:r>
      <w:r w:rsidR="00C239D9">
        <w:rPr>
          <w:lang w:eastAsia="en-AU"/>
        </w:rPr>
        <w:t>,</w:t>
      </w:r>
      <w:r>
        <w:rPr>
          <w:lang w:eastAsia="en-AU"/>
        </w:rPr>
        <w:t xml:space="preserve"> which attract fees</w:t>
      </w:r>
      <w:r w:rsidR="00C239D9">
        <w:rPr>
          <w:lang w:eastAsia="en-AU"/>
        </w:rPr>
        <w:t>,</w:t>
      </w:r>
      <w:r>
        <w:rPr>
          <w:lang w:eastAsia="en-AU"/>
        </w:rPr>
        <w:t xml:space="preserve"> and </w:t>
      </w:r>
      <w:r w:rsidR="00C239D9">
        <w:rPr>
          <w:lang w:eastAsia="en-AU"/>
        </w:rPr>
        <w:t xml:space="preserve">shifts to </w:t>
      </w:r>
      <w:r>
        <w:rPr>
          <w:lang w:eastAsia="en-AU"/>
        </w:rPr>
        <w:t>preparation and attention to consideration of these issues earlier in the process.</w:t>
      </w:r>
      <w:r w:rsidR="00F840B5">
        <w:rPr>
          <w:lang w:eastAsia="en-AU"/>
        </w:rPr>
        <w:t xml:space="preserve"> </w:t>
      </w:r>
      <w:r w:rsidR="00C340E3" w:rsidRPr="003177F7">
        <w:rPr>
          <w:lang w:eastAsia="en-AU"/>
        </w:rPr>
        <w:t xml:space="preserve">A </w:t>
      </w:r>
      <w:r w:rsidR="00C340E3">
        <w:t>p</w:t>
      </w:r>
      <w:r w:rsidR="00C340E3" w:rsidRPr="003177F7">
        <w:t>rincipal of a private criminal law firm</w:t>
      </w:r>
      <w:r w:rsidR="00C340E3" w:rsidRPr="003177F7">
        <w:rPr>
          <w:lang w:eastAsia="en-AU"/>
        </w:rPr>
        <w:t xml:space="preserve"> in New South Wales</w:t>
      </w:r>
      <w:r w:rsidR="00C340E3" w:rsidRPr="00254EB6">
        <w:t xml:space="preserve"> </w:t>
      </w:r>
      <w:r w:rsidR="00C340E3" w:rsidRPr="00E44D59">
        <w:t xml:space="preserve">with </w:t>
      </w:r>
      <w:r w:rsidR="00C340E3">
        <w:t xml:space="preserve">more than </w:t>
      </w:r>
      <w:r w:rsidR="00C340E3" w:rsidRPr="00E44D59">
        <w:t>20 years post-admission experience</w:t>
      </w:r>
      <w:r w:rsidR="00C340E3" w:rsidRPr="003177F7">
        <w:t>, who holds an</w:t>
      </w:r>
      <w:r w:rsidR="00C340E3" w:rsidRPr="00E44D59">
        <w:t xml:space="preserve"> Accredited Specialisation in Criminal Law, </w:t>
      </w:r>
      <w:r w:rsidR="00C340E3">
        <w:t xml:space="preserve">indicates that </w:t>
      </w:r>
      <w:r w:rsidR="00C340E3">
        <w:rPr>
          <w:szCs w:val="22"/>
          <w:lang w:eastAsia="en-AU"/>
        </w:rPr>
        <w:t>i</w:t>
      </w:r>
      <w:r w:rsidR="00C340E3" w:rsidRPr="00E44D59">
        <w:rPr>
          <w:szCs w:val="22"/>
          <w:lang w:eastAsia="en-AU"/>
        </w:rPr>
        <w:t>t is th</w:t>
      </w:r>
      <w:r w:rsidR="00C340E3">
        <w:rPr>
          <w:szCs w:val="22"/>
          <w:lang w:eastAsia="en-AU"/>
        </w:rPr>
        <w:t>is</w:t>
      </w:r>
      <w:r w:rsidR="00C340E3" w:rsidRPr="00E44D59">
        <w:rPr>
          <w:szCs w:val="22"/>
          <w:lang w:eastAsia="en-AU"/>
        </w:rPr>
        <w:t xml:space="preserve"> </w:t>
      </w:r>
      <w:r w:rsidR="00C340E3">
        <w:rPr>
          <w:szCs w:val="22"/>
          <w:lang w:eastAsia="en-AU"/>
        </w:rPr>
        <w:t xml:space="preserve">early </w:t>
      </w:r>
      <w:r w:rsidR="00C340E3" w:rsidRPr="00E44D59">
        <w:rPr>
          <w:szCs w:val="22"/>
          <w:lang w:eastAsia="en-AU"/>
        </w:rPr>
        <w:t xml:space="preserve">involvement of senior lawyers and crown prosecutors that has been the key to </w:t>
      </w:r>
      <w:r w:rsidR="00C340E3">
        <w:rPr>
          <w:szCs w:val="22"/>
          <w:lang w:eastAsia="en-AU"/>
        </w:rPr>
        <w:t xml:space="preserve">improvements in early </w:t>
      </w:r>
      <w:r w:rsidR="00C340E3" w:rsidRPr="00E44D59">
        <w:rPr>
          <w:szCs w:val="22"/>
          <w:lang w:eastAsia="en-AU"/>
        </w:rPr>
        <w:t>resolution</w:t>
      </w:r>
      <w:r w:rsidR="00C340E3">
        <w:rPr>
          <w:szCs w:val="22"/>
          <w:lang w:eastAsia="en-AU"/>
        </w:rPr>
        <w:t xml:space="preserve"> in NSW</w:t>
      </w:r>
      <w:r w:rsidR="00C340E3" w:rsidRPr="00E44D59">
        <w:rPr>
          <w:lang w:eastAsia="en-AU"/>
        </w:rPr>
        <w:t>.</w:t>
      </w:r>
    </w:p>
    <w:p w14:paraId="21679BEA" w14:textId="6F8CD25B" w:rsidR="00260BB6" w:rsidRDefault="00551C28" w:rsidP="00934486">
      <w:pPr>
        <w:pStyle w:val="VLADocumentText"/>
      </w:pPr>
      <w:r>
        <w:rPr>
          <w:rFonts w:cs="Arial"/>
          <w:lang w:eastAsia="en-AU"/>
        </w:rPr>
        <w:t xml:space="preserve">The extensive </w:t>
      </w:r>
      <w:r w:rsidR="00260BB6">
        <w:rPr>
          <w:rFonts w:cs="Arial"/>
          <w:lang w:eastAsia="en-AU"/>
        </w:rPr>
        <w:t xml:space="preserve">2018 </w:t>
      </w:r>
      <w:r>
        <w:rPr>
          <w:rFonts w:cs="Arial"/>
          <w:lang w:eastAsia="en-AU"/>
        </w:rPr>
        <w:t xml:space="preserve">committal </w:t>
      </w:r>
      <w:r w:rsidR="00260BB6">
        <w:rPr>
          <w:rFonts w:cs="Arial"/>
          <w:lang w:eastAsia="en-AU"/>
        </w:rPr>
        <w:t>reforms</w:t>
      </w:r>
      <w:r>
        <w:rPr>
          <w:rFonts w:cs="Arial"/>
          <w:lang w:eastAsia="en-AU"/>
        </w:rPr>
        <w:t xml:space="preserve"> in NSW</w:t>
      </w:r>
      <w:r>
        <w:rPr>
          <w:rStyle w:val="FootnoteReference"/>
          <w:rFonts w:cs="Arial"/>
          <w:lang w:eastAsia="en-AU"/>
        </w:rPr>
        <w:footnoteReference w:id="31"/>
      </w:r>
      <w:r w:rsidR="00260BB6" w:rsidRPr="00F5376F">
        <w:t xml:space="preserve"> w</w:t>
      </w:r>
      <w:r>
        <w:t>ere</w:t>
      </w:r>
      <w:r w:rsidR="00260BB6" w:rsidRPr="00F5376F">
        <w:t xml:space="preserve"> supported</w:t>
      </w:r>
      <w:r w:rsidR="00260BB6" w:rsidRPr="003B4389">
        <w:rPr>
          <w:i/>
        </w:rPr>
        <w:t xml:space="preserve"> </w:t>
      </w:r>
      <w:r w:rsidR="00260BB6">
        <w:t>with significant funding, including</w:t>
      </w:r>
      <w:r w:rsidR="00934486">
        <w:t xml:space="preserve"> </w:t>
      </w:r>
      <w:r w:rsidR="00260BB6">
        <w:t xml:space="preserve">$29.5 million for reforms to encourage early guilty pleas in appropriate cases and an additional $10 million for Legal Aid </w:t>
      </w:r>
      <w:r w:rsidR="00A473B7">
        <w:t>NSW</w:t>
      </w:r>
      <w:r w:rsidR="00260BB6">
        <w:t xml:space="preserve">, </w:t>
      </w:r>
      <w:r w:rsidR="00934486">
        <w:t>“</w:t>
      </w:r>
      <w:r w:rsidR="00260BB6">
        <w:t>to help clear the District Court backlog, minimise court delays and reduce stress for victims</w:t>
      </w:r>
      <w:r w:rsidR="00934486">
        <w:t>”</w:t>
      </w:r>
      <w:r w:rsidR="00260BB6">
        <w:t>.</w:t>
      </w:r>
      <w:r w:rsidR="00260BB6">
        <w:rPr>
          <w:rStyle w:val="FootnoteReference"/>
        </w:rPr>
        <w:footnoteReference w:id="32"/>
      </w:r>
    </w:p>
    <w:p w14:paraId="1ED524CB" w14:textId="6D5207AE" w:rsidR="00260BB6" w:rsidRDefault="00260BB6" w:rsidP="00260BB6">
      <w:pPr>
        <w:pStyle w:val="VLADocumentText"/>
        <w:rPr>
          <w:lang w:eastAsia="en-AU"/>
        </w:rPr>
      </w:pPr>
      <w:r>
        <w:t>With this funding, L</w:t>
      </w:r>
      <w:r w:rsidRPr="00E44D59">
        <w:rPr>
          <w:lang w:eastAsia="en-AU"/>
        </w:rPr>
        <w:t xml:space="preserve">egal Aid </w:t>
      </w:r>
      <w:r>
        <w:rPr>
          <w:lang w:eastAsia="en-AU"/>
        </w:rPr>
        <w:t xml:space="preserve">NSW was able to </w:t>
      </w:r>
      <w:r w:rsidRPr="00E44D59">
        <w:rPr>
          <w:lang w:eastAsia="en-AU"/>
        </w:rPr>
        <w:t xml:space="preserve">match the commitment by the ODPP </w:t>
      </w:r>
      <w:r>
        <w:rPr>
          <w:lang w:eastAsia="en-AU"/>
        </w:rPr>
        <w:t>in</w:t>
      </w:r>
      <w:r w:rsidRPr="00E44D59">
        <w:rPr>
          <w:lang w:eastAsia="en-AU"/>
        </w:rPr>
        <w:t xml:space="preserve"> providing </w:t>
      </w:r>
      <w:r w:rsidR="006940D3" w:rsidRPr="00E44D59">
        <w:rPr>
          <w:lang w:eastAsia="en-AU"/>
        </w:rPr>
        <w:t xml:space="preserve">senior public defenders or senior lawyers </w:t>
      </w:r>
      <w:r w:rsidRPr="00E44D59">
        <w:rPr>
          <w:lang w:eastAsia="en-AU"/>
        </w:rPr>
        <w:t>for committals matters. This means both sides have the benefit of lawyers</w:t>
      </w:r>
      <w:r>
        <w:rPr>
          <w:lang w:eastAsia="en-AU"/>
        </w:rPr>
        <w:t xml:space="preserve"> and </w:t>
      </w:r>
      <w:r w:rsidRPr="00E44D59">
        <w:rPr>
          <w:lang w:eastAsia="en-AU"/>
        </w:rPr>
        <w:t>counsel with experience to engage in early discussions and,</w:t>
      </w:r>
      <w:r>
        <w:rPr>
          <w:lang w:eastAsia="en-AU"/>
        </w:rPr>
        <w:t xml:space="preserve"> </w:t>
      </w:r>
      <w:r w:rsidRPr="00E44D59">
        <w:rPr>
          <w:lang w:eastAsia="en-AU"/>
        </w:rPr>
        <w:t xml:space="preserve">where appropriate, </w:t>
      </w:r>
      <w:r w:rsidRPr="003177F7">
        <w:rPr>
          <w:lang w:eastAsia="en-AU"/>
        </w:rPr>
        <w:t xml:space="preserve">resolutions. </w:t>
      </w:r>
    </w:p>
    <w:p w14:paraId="3198A6FB" w14:textId="21110B30" w:rsidR="00477100" w:rsidRDefault="009B7A06" w:rsidP="00477100">
      <w:pPr>
        <w:pStyle w:val="Heading3"/>
      </w:pPr>
      <w:bookmarkStart w:id="58" w:name="_Toc17050675"/>
      <w:bookmarkStart w:id="59" w:name="_Toc17155090"/>
      <w:r>
        <w:t>5</w:t>
      </w:r>
      <w:r w:rsidR="00477100">
        <w:t xml:space="preserve">. </w:t>
      </w:r>
      <w:r w:rsidR="00477100" w:rsidRPr="00B60E47">
        <w:t>Filing Hearing directions</w:t>
      </w:r>
      <w:r w:rsidR="00477100">
        <w:t xml:space="preserve"> and forensic analysis</w:t>
      </w:r>
      <w:bookmarkEnd w:id="58"/>
      <w:bookmarkEnd w:id="59"/>
    </w:p>
    <w:p w14:paraId="72D9A5AC" w14:textId="6C3EEECC" w:rsidR="00F14D12" w:rsidRDefault="00F14D12" w:rsidP="00F14D12">
      <w:pPr>
        <w:pStyle w:val="VLADocumentText"/>
      </w:pPr>
      <w:r>
        <w:t>As well as a</w:t>
      </w:r>
      <w:r w:rsidRPr="00B60E47">
        <w:t xml:space="preserve">ctive </w:t>
      </w:r>
      <w:r>
        <w:t xml:space="preserve">early </w:t>
      </w:r>
      <w:r w:rsidRPr="00B60E47">
        <w:t xml:space="preserve">engagement by </w:t>
      </w:r>
      <w:r>
        <w:t xml:space="preserve">the prosecution, defence and informants, early engagement by the magistrate </w:t>
      </w:r>
      <w:r w:rsidRPr="00B60E47">
        <w:t>at th</w:t>
      </w:r>
      <w:r>
        <w:t>e filing hearing</w:t>
      </w:r>
      <w:r w:rsidRPr="00B60E47">
        <w:t xml:space="preserve"> stage would </w:t>
      </w:r>
      <w:r>
        <w:t xml:space="preserve">significantly </w:t>
      </w:r>
      <w:r w:rsidRPr="00B60E47">
        <w:t xml:space="preserve">contribute to the </w:t>
      </w:r>
      <w:r>
        <w:t xml:space="preserve">timely </w:t>
      </w:r>
      <w:r w:rsidRPr="00B60E47">
        <w:t xml:space="preserve">advancement of matters. </w:t>
      </w:r>
    </w:p>
    <w:p w14:paraId="484AB98F" w14:textId="6B7261A6" w:rsidR="00477100" w:rsidRDefault="00477100" w:rsidP="00477100">
      <w:pPr>
        <w:pStyle w:val="VLADocumentText"/>
      </w:pPr>
      <w:r w:rsidRPr="00B60E47">
        <w:t>At the filing hearing stage</w:t>
      </w:r>
      <w:r>
        <w:t>,</w:t>
      </w:r>
      <w:r w:rsidRPr="00B60E47">
        <w:t xml:space="preserve"> the investigation is </w:t>
      </w:r>
      <w:r>
        <w:t>in</w:t>
      </w:r>
      <w:r w:rsidRPr="00B60E47">
        <w:t xml:space="preserve"> its infancy and </w:t>
      </w:r>
      <w:r w:rsidR="00146827">
        <w:t>typically</w:t>
      </w:r>
      <w:r w:rsidRPr="00B60E47">
        <w:t xml:space="preserve"> the only material available</w:t>
      </w:r>
      <w:r>
        <w:t xml:space="preserve"> to the parties</w:t>
      </w:r>
      <w:r w:rsidRPr="00B60E47">
        <w:t xml:space="preserve"> is a </w:t>
      </w:r>
      <w:r>
        <w:t xml:space="preserve">limited </w:t>
      </w:r>
      <w:r w:rsidRPr="00B60E47">
        <w:t>police summary and charge sheets. The filing hearing is a crucial opportunity for the magistrate to directly and proactively engage with the informant</w:t>
      </w:r>
      <w:r>
        <w:t xml:space="preserve"> and the parties</w:t>
      </w:r>
      <w:r w:rsidRPr="00B60E47">
        <w:t xml:space="preserve">, to triage and prioritise evidence </w:t>
      </w:r>
      <w:r>
        <w:t xml:space="preserve">analysis </w:t>
      </w:r>
      <w:r w:rsidRPr="00B60E47">
        <w:t xml:space="preserve">which will be required for the hand-up brief. </w:t>
      </w:r>
    </w:p>
    <w:p w14:paraId="78596FEC" w14:textId="521E59C1" w:rsidR="00F71654" w:rsidRDefault="00477100" w:rsidP="00477100">
      <w:pPr>
        <w:pStyle w:val="VLADocumentText"/>
      </w:pPr>
      <w:r>
        <w:t>Of p</w:t>
      </w:r>
      <w:r w:rsidRPr="00B60E47">
        <w:t>articular importan</w:t>
      </w:r>
      <w:r>
        <w:t>ce</w:t>
      </w:r>
      <w:r w:rsidRPr="00B60E47">
        <w:t xml:space="preserve"> is forensics and IT evidence, which typically take </w:t>
      </w:r>
      <w:r>
        <w:t xml:space="preserve">at minimum 6-9 </w:t>
      </w:r>
      <w:r w:rsidRPr="00B60E47">
        <w:t>months to process</w:t>
      </w:r>
      <w:r w:rsidR="00146827">
        <w:t xml:space="preserve"> due to capacity limitations</w:t>
      </w:r>
      <w:r w:rsidRPr="00B60E47">
        <w:t xml:space="preserve">. </w:t>
      </w:r>
      <w:r w:rsidR="00146827">
        <w:t>T</w:t>
      </w:r>
      <w:r>
        <w:t>ria</w:t>
      </w:r>
      <w:r w:rsidR="00146827">
        <w:t>ging and prioritising these types of</w:t>
      </w:r>
      <w:r>
        <w:t xml:space="preserve"> slow </w:t>
      </w:r>
      <w:r w:rsidR="00146827">
        <w:t xml:space="preserve">but </w:t>
      </w:r>
      <w:r>
        <w:t xml:space="preserve">critical evidence analysis would significantly address disclosure delays. </w:t>
      </w:r>
    </w:p>
    <w:p w14:paraId="75BD7CA3" w14:textId="4D4A0397" w:rsidR="00477100" w:rsidRDefault="00477100" w:rsidP="00477100">
      <w:pPr>
        <w:pStyle w:val="VLADocumentText"/>
      </w:pPr>
      <w:r>
        <w:t>To give</w:t>
      </w:r>
      <w:r w:rsidRPr="00B60E47">
        <w:t xml:space="preserve"> an example of an existing </w:t>
      </w:r>
      <w:r>
        <w:t xml:space="preserve">Victorian </w:t>
      </w:r>
      <w:r w:rsidRPr="00B60E47">
        <w:t xml:space="preserve">mechanism which is not widely used, approximately </w:t>
      </w:r>
      <w:r>
        <w:t>three</w:t>
      </w:r>
      <w:r w:rsidRPr="00B60E47">
        <w:t xml:space="preserve"> years ago </w:t>
      </w:r>
      <w:r>
        <w:t xml:space="preserve">the Magistrates’ Court introduced a direction </w:t>
      </w:r>
      <w:r w:rsidRPr="00B60E47">
        <w:t>about purity analysis (</w:t>
      </w:r>
      <w:r>
        <w:t xml:space="preserve">that is, of drugs of dependence </w:t>
      </w:r>
      <w:r w:rsidRPr="00B60E47">
        <w:t xml:space="preserve">substances) </w:t>
      </w:r>
      <w:r>
        <w:t xml:space="preserve">that meant </w:t>
      </w:r>
      <w:r w:rsidRPr="00B60E47">
        <w:t xml:space="preserve">Victoria Police Forensic </w:t>
      </w:r>
      <w:r>
        <w:t>S</w:t>
      </w:r>
      <w:r w:rsidRPr="00B60E47">
        <w:t>ervices</w:t>
      </w:r>
      <w:r>
        <w:t xml:space="preserve"> Department (VPFSD) should prioritise the analysis</w:t>
      </w:r>
      <w:r w:rsidR="001425ED">
        <w:t xml:space="preserve"> of these samples</w:t>
      </w:r>
      <w:r>
        <w:t>.</w:t>
      </w:r>
      <w:r w:rsidRPr="00B60E47">
        <w:t xml:space="preserve"> </w:t>
      </w:r>
      <w:r>
        <w:t>Despite this requirement, it was recently discovered that VPFSD</w:t>
      </w:r>
      <w:r w:rsidRPr="00B60E47">
        <w:t xml:space="preserve"> </w:t>
      </w:r>
      <w:r>
        <w:t xml:space="preserve">were generally not being informed of these directions or </w:t>
      </w:r>
      <w:r w:rsidR="006B10BB">
        <w:t>were</w:t>
      </w:r>
      <w:r>
        <w:t xml:space="preserve"> still waiting for a matter to be booked in for committal before they started analysing the drugs. As a result of VPFSD attending a court users’ meeting this direction has been clarified. </w:t>
      </w:r>
    </w:p>
    <w:p w14:paraId="01636351" w14:textId="71661029" w:rsidR="00477100" w:rsidRPr="00B60E47" w:rsidRDefault="00477100" w:rsidP="00477100">
      <w:pPr>
        <w:pStyle w:val="VLADocumentText"/>
      </w:pPr>
      <w:r>
        <w:lastRenderedPageBreak/>
        <w:t xml:space="preserve">This relatively simply example demonstrates the need for closer collaboration </w:t>
      </w:r>
      <w:r w:rsidR="00753CA3">
        <w:t xml:space="preserve">and communication </w:t>
      </w:r>
      <w:r>
        <w:t>between the courts, practitioners and forensic services.</w:t>
      </w:r>
      <w:r w:rsidRPr="00B60E47">
        <w:t xml:space="preserve"> </w:t>
      </w:r>
      <w:r>
        <w:t>To this end</w:t>
      </w:r>
      <w:r w:rsidR="00146827">
        <w:t>,</w:t>
      </w:r>
      <w:r>
        <w:t xml:space="preserve"> f</w:t>
      </w:r>
      <w:r w:rsidRPr="00B60E47">
        <w:t xml:space="preserve">orensic services and analysts </w:t>
      </w:r>
      <w:r>
        <w:t xml:space="preserve">should have </w:t>
      </w:r>
      <w:r w:rsidRPr="00B60E47">
        <w:t xml:space="preserve">an active presence or voice in communicating to the court </w:t>
      </w:r>
      <w:r w:rsidR="00C90A15">
        <w:t>which</w:t>
      </w:r>
      <w:r w:rsidR="00C90A15" w:rsidRPr="00B60E47">
        <w:t xml:space="preserve"> </w:t>
      </w:r>
      <w:r w:rsidRPr="00B60E47">
        <w:t>services they can realistically deliver</w:t>
      </w:r>
      <w:r>
        <w:t>, as well</w:t>
      </w:r>
      <w:r w:rsidRPr="00B60E47">
        <w:t xml:space="preserve"> </w:t>
      </w:r>
      <w:r>
        <w:t>as</w:t>
      </w:r>
      <w:r w:rsidRPr="00B60E47">
        <w:t xml:space="preserve"> the time frames in which it can be delivered</w:t>
      </w:r>
      <w:r>
        <w:t xml:space="preserve">. This could be through initial advice to the </w:t>
      </w:r>
      <w:r w:rsidR="00146827">
        <w:t xml:space="preserve">prosecution </w:t>
      </w:r>
      <w:r>
        <w:t>and/or informant which is communicated to the court, or through</w:t>
      </w:r>
      <w:r w:rsidR="00C90A15">
        <w:t xml:space="preserve"> the</w:t>
      </w:r>
      <w:r>
        <w:t xml:space="preserve"> early disclosure conferences propose</w:t>
      </w:r>
      <w:r w:rsidR="00DB19B6">
        <w:t>d</w:t>
      </w:r>
      <w:r>
        <w:t xml:space="preserve"> </w:t>
      </w:r>
      <w:r w:rsidR="00146827">
        <w:t>above</w:t>
      </w:r>
      <w:r>
        <w:t xml:space="preserve">. </w:t>
      </w:r>
    </w:p>
    <w:p w14:paraId="5CE5D5B1" w14:textId="306A7B73" w:rsidR="00477100" w:rsidRPr="00CC60C6" w:rsidRDefault="00477100" w:rsidP="00477100">
      <w:pPr>
        <w:pStyle w:val="VLADocumentText"/>
      </w:pPr>
      <w:r>
        <w:t xml:space="preserve">It is important to note that </w:t>
      </w:r>
      <w:r w:rsidRPr="001E5741">
        <w:t>regional criminal investigation units</w:t>
      </w:r>
      <w:r>
        <w:t xml:space="preserve"> do not enjoy the </w:t>
      </w:r>
      <w:r w:rsidR="0063137C">
        <w:t xml:space="preserve">same level of access to forensic services as </w:t>
      </w:r>
      <w:r>
        <w:t xml:space="preserve">their metropolitan counterparts. Often in regional </w:t>
      </w:r>
      <w:r w:rsidRPr="001E5741">
        <w:t>criminal investigation units</w:t>
      </w:r>
      <w:r w:rsidR="00E91069">
        <w:t>,</w:t>
      </w:r>
      <w:r>
        <w:t xml:space="preserve"> the </w:t>
      </w:r>
      <w:r w:rsidR="00E91069">
        <w:t xml:space="preserve">police </w:t>
      </w:r>
      <w:r w:rsidRPr="28D2680E">
        <w:t xml:space="preserve">detectives will collect buccal swabs from </w:t>
      </w:r>
      <w:r w:rsidR="00E91069">
        <w:t xml:space="preserve">the </w:t>
      </w:r>
      <w:r w:rsidRPr="28D2680E">
        <w:t xml:space="preserve">crime scene because </w:t>
      </w:r>
      <w:r>
        <w:t xml:space="preserve">forensic services </w:t>
      </w:r>
      <w:r w:rsidRPr="28D2680E">
        <w:t xml:space="preserve">do not have the capacity to </w:t>
      </w:r>
      <w:r>
        <w:t xml:space="preserve">attend </w:t>
      </w:r>
      <w:r w:rsidRPr="28D2680E">
        <w:t xml:space="preserve">to every </w:t>
      </w:r>
      <w:r>
        <w:t xml:space="preserve">crime </w:t>
      </w:r>
      <w:r w:rsidRPr="002B7012">
        <w:t xml:space="preserve">scene. </w:t>
      </w:r>
      <w:r w:rsidR="009F62AB">
        <w:t xml:space="preserve">Where </w:t>
      </w:r>
      <w:r w:rsidRPr="002B7012">
        <w:t xml:space="preserve">forensic services are </w:t>
      </w:r>
      <w:r w:rsidR="009F62AB">
        <w:t>required</w:t>
      </w:r>
      <w:r>
        <w:t>,</w:t>
      </w:r>
      <w:r w:rsidRPr="002B7012">
        <w:t xml:space="preserve"> police </w:t>
      </w:r>
      <w:r w:rsidR="009F62AB">
        <w:t xml:space="preserve">will generally </w:t>
      </w:r>
      <w:r w:rsidRPr="002B7012">
        <w:t>seek addition</w:t>
      </w:r>
      <w:r>
        <w:t>al</w:t>
      </w:r>
      <w:r w:rsidRPr="002B7012">
        <w:t xml:space="preserve"> time, beyond the 6 weeks for </w:t>
      </w:r>
      <w:r w:rsidR="009F62AB">
        <w:t xml:space="preserve">the </w:t>
      </w:r>
      <w:r w:rsidRPr="002B7012">
        <w:t>service</w:t>
      </w:r>
      <w:r w:rsidR="009F62AB">
        <w:t xml:space="preserve"> of the brief</w:t>
      </w:r>
      <w:r w:rsidRPr="002B7012">
        <w:t xml:space="preserve">, because </w:t>
      </w:r>
      <w:r w:rsidR="00026DDB">
        <w:t xml:space="preserve">of the </w:t>
      </w:r>
      <w:r w:rsidRPr="002B7012">
        <w:t xml:space="preserve">time </w:t>
      </w:r>
      <w:r w:rsidR="00026DDB">
        <w:t xml:space="preserve">required </w:t>
      </w:r>
      <w:r w:rsidRPr="002B7012">
        <w:t xml:space="preserve">for the collection and analysis of forensic evidence. If the forensic evidence is pivotal to the </w:t>
      </w:r>
      <w:r>
        <w:t>p</w:t>
      </w:r>
      <w:r w:rsidRPr="002B7012">
        <w:t>rosecution case</w:t>
      </w:r>
      <w:r>
        <w:t>,</w:t>
      </w:r>
      <w:r w:rsidRPr="002B7012">
        <w:t xml:space="preserve"> then the delay in </w:t>
      </w:r>
      <w:r w:rsidR="00026DDB">
        <w:t xml:space="preserve">collecting and analysing </w:t>
      </w:r>
      <w:r w:rsidRPr="002B7012">
        <w:t>for</w:t>
      </w:r>
      <w:r w:rsidRPr="00EC4675">
        <w:t xml:space="preserve">ensic </w:t>
      </w:r>
      <w:r w:rsidRPr="00730EFE">
        <w:t>evidence</w:t>
      </w:r>
      <w:r w:rsidRPr="00CC60C6">
        <w:t xml:space="preserve"> will </w:t>
      </w:r>
      <w:r w:rsidR="00026DDB">
        <w:t xml:space="preserve">affect </w:t>
      </w:r>
      <w:r w:rsidRPr="00CC60C6">
        <w:t xml:space="preserve">the ability of the parties to enter into plea negotiations. </w:t>
      </w:r>
    </w:p>
    <w:p w14:paraId="63028F75" w14:textId="1E6F04FC" w:rsidR="00C24EC9" w:rsidRDefault="00270FE3" w:rsidP="00477100">
      <w:pPr>
        <w:pStyle w:val="VLADocumentText"/>
      </w:pPr>
      <w:r>
        <w:t>In our experience</w:t>
      </w:r>
      <w:r w:rsidR="00E91069">
        <w:t>,</w:t>
      </w:r>
      <w:r>
        <w:t xml:space="preserve"> the </w:t>
      </w:r>
      <w:r w:rsidR="002102D3">
        <w:t>extent to which the</w:t>
      </w:r>
      <w:r w:rsidR="009B5611">
        <w:t xml:space="preserve"> filling hearing directions</w:t>
      </w:r>
      <w:r w:rsidR="002102D3">
        <w:t xml:space="preserve"> are </w:t>
      </w:r>
      <w:r w:rsidR="00791F1B">
        <w:t xml:space="preserve">complied with </w:t>
      </w:r>
      <w:r w:rsidR="009B5611">
        <w:t xml:space="preserve">is </w:t>
      </w:r>
      <w:r w:rsidR="00791F1B">
        <w:t xml:space="preserve">directly </w:t>
      </w:r>
      <w:r w:rsidR="002102D3">
        <w:t>affected</w:t>
      </w:r>
      <w:r w:rsidR="00791F1B">
        <w:t xml:space="preserve"> by the level of </w:t>
      </w:r>
      <w:r w:rsidR="00477100">
        <w:t>expertise</w:t>
      </w:r>
      <w:r w:rsidR="00791F1B">
        <w:t>,</w:t>
      </w:r>
      <w:r w:rsidR="00477100">
        <w:t xml:space="preserve"> attention </w:t>
      </w:r>
      <w:r w:rsidR="00791F1B">
        <w:t xml:space="preserve">and engagement </w:t>
      </w:r>
      <w:r w:rsidR="00477100">
        <w:t xml:space="preserve">which all parties </w:t>
      </w:r>
      <w:r w:rsidR="00791F1B">
        <w:t xml:space="preserve">to proceedings </w:t>
      </w:r>
      <w:r w:rsidR="00477100">
        <w:t xml:space="preserve">bring to bear on the </w:t>
      </w:r>
      <w:r w:rsidR="00791F1B">
        <w:t>fact</w:t>
      </w:r>
      <w:r w:rsidR="005124F7">
        <w:t>s</w:t>
      </w:r>
      <w:r w:rsidR="00791F1B">
        <w:t>-in-</w:t>
      </w:r>
      <w:r w:rsidR="00477100">
        <w:t>issue</w:t>
      </w:r>
      <w:r w:rsidR="00791F1B">
        <w:t xml:space="preserve"> of a particular case</w:t>
      </w:r>
      <w:r w:rsidR="00477100">
        <w:t xml:space="preserve">. </w:t>
      </w:r>
    </w:p>
    <w:p w14:paraId="7843DB23" w14:textId="241F0A6B" w:rsidR="00477100" w:rsidRDefault="00C24EC9" w:rsidP="00477100">
      <w:pPr>
        <w:pStyle w:val="VLADocumentText"/>
      </w:pPr>
      <w:r>
        <w:t xml:space="preserve">VLA supports </w:t>
      </w:r>
      <w:r w:rsidR="00477100">
        <w:t>a move to view and fund the committal stream as a ‘specialist’ jurisdiction within the Magistrates’ Court</w:t>
      </w:r>
      <w:r w:rsidR="009B22E9">
        <w:t>,</w:t>
      </w:r>
      <w:r w:rsidR="00477100">
        <w:t xml:space="preserve"> which is only staffed by magistrates who have substantial expertise in this area. Our experience is that when such specialist magistrates preside over filing hearings, brief preparation and hearings are expeditated as parties engage in preliminary discussions about evidence that may be in dispute and individualised timeframes are set for the provision of material, rather than reliance on ‘standard’ disclosure timeframes which </w:t>
      </w:r>
      <w:r w:rsidR="00DE0F87">
        <w:t xml:space="preserve">can contribute to routine </w:t>
      </w:r>
      <w:r w:rsidR="00477100">
        <w:t>delay</w:t>
      </w:r>
      <w:r w:rsidR="00DE0F87">
        <w:t>s</w:t>
      </w:r>
      <w:r w:rsidR="00477100">
        <w:t xml:space="preserve">. </w:t>
      </w:r>
    </w:p>
    <w:p w14:paraId="722554C5" w14:textId="30B1BB85" w:rsidR="009676B7" w:rsidRDefault="00F6132B" w:rsidP="009676B7">
      <w:pPr>
        <w:pStyle w:val="Heading3"/>
      </w:pPr>
      <w:bookmarkStart w:id="60" w:name="_Toc17050676"/>
      <w:bookmarkStart w:id="61" w:name="_Toc17155091"/>
      <w:r>
        <w:t xml:space="preserve">6. </w:t>
      </w:r>
      <w:r w:rsidR="001E0052">
        <w:t>Enforceable r</w:t>
      </w:r>
      <w:r w:rsidR="009676B7" w:rsidRPr="001B5714">
        <w:t>espon</w:t>
      </w:r>
      <w:r w:rsidR="009676B7">
        <w:t>ses</w:t>
      </w:r>
      <w:r w:rsidR="009676B7" w:rsidRPr="001B5714">
        <w:t xml:space="preserve"> to </w:t>
      </w:r>
      <w:r w:rsidR="009676B7" w:rsidRPr="00DF0C06">
        <w:t>lack</w:t>
      </w:r>
      <w:r w:rsidR="009676B7" w:rsidRPr="001B5714">
        <w:t xml:space="preserve"> of compliance with disclosure obligations</w:t>
      </w:r>
      <w:bookmarkEnd w:id="60"/>
      <w:bookmarkEnd w:id="61"/>
    </w:p>
    <w:p w14:paraId="1D31FFBB" w14:textId="18E82C73" w:rsidR="009676B7" w:rsidRDefault="009676B7" w:rsidP="009676B7">
      <w:pPr>
        <w:pStyle w:val="VLADocumentText"/>
        <w:rPr>
          <w:lang w:eastAsia="en-AU"/>
        </w:rPr>
      </w:pPr>
      <w:r>
        <w:rPr>
          <w:lang w:eastAsia="en-AU"/>
        </w:rPr>
        <w:t>O</w:t>
      </w:r>
      <w:r w:rsidRPr="00917E9A">
        <w:rPr>
          <w:lang w:eastAsia="en-AU"/>
        </w:rPr>
        <w:t xml:space="preserve">ften disclosure </w:t>
      </w:r>
      <w:r>
        <w:rPr>
          <w:lang w:eastAsia="en-AU"/>
        </w:rPr>
        <w:t>obligations are</w:t>
      </w:r>
      <w:r w:rsidRPr="00917E9A">
        <w:rPr>
          <w:lang w:eastAsia="en-AU"/>
        </w:rPr>
        <w:t xml:space="preserve"> not complied with</w:t>
      </w:r>
      <w:r>
        <w:rPr>
          <w:lang w:eastAsia="en-AU"/>
        </w:rPr>
        <w:t>,</w:t>
      </w:r>
      <w:r w:rsidRPr="00917E9A">
        <w:rPr>
          <w:lang w:eastAsia="en-AU"/>
        </w:rPr>
        <w:t xml:space="preserve"> and the committal hearing is used as a mechanism to ensure the </w:t>
      </w:r>
      <w:r w:rsidR="00A23957">
        <w:rPr>
          <w:lang w:eastAsia="en-AU"/>
        </w:rPr>
        <w:t xml:space="preserve">investigators </w:t>
      </w:r>
      <w:r w:rsidRPr="00917E9A">
        <w:rPr>
          <w:lang w:eastAsia="en-AU"/>
        </w:rPr>
        <w:t>are held to account to their obligations.</w:t>
      </w:r>
      <w:r>
        <w:rPr>
          <w:lang w:eastAsia="en-AU"/>
        </w:rPr>
        <w:t xml:space="preserve"> To illustrate this, we have provided </w:t>
      </w:r>
      <w:r w:rsidR="00CE1A60">
        <w:rPr>
          <w:lang w:eastAsia="en-AU"/>
        </w:rPr>
        <w:t xml:space="preserve">an </w:t>
      </w:r>
      <w:r>
        <w:rPr>
          <w:lang w:eastAsia="en-AU"/>
        </w:rPr>
        <w:t xml:space="preserve">example of </w:t>
      </w:r>
      <w:r w:rsidR="00CE1A60">
        <w:rPr>
          <w:lang w:eastAsia="en-AU"/>
        </w:rPr>
        <w:t xml:space="preserve">a </w:t>
      </w:r>
      <w:r>
        <w:rPr>
          <w:lang w:eastAsia="en-AU"/>
        </w:rPr>
        <w:t>complete</w:t>
      </w:r>
      <w:r w:rsidR="00A23957">
        <w:rPr>
          <w:lang w:eastAsia="en-AU"/>
        </w:rPr>
        <w:t>d</w:t>
      </w:r>
      <w:r>
        <w:rPr>
          <w:lang w:eastAsia="en-AU"/>
        </w:rPr>
        <w:t xml:space="preserve"> </w:t>
      </w:r>
      <w:r w:rsidR="00CE1A60">
        <w:rPr>
          <w:lang w:eastAsia="en-AU"/>
        </w:rPr>
        <w:t>F</w:t>
      </w:r>
      <w:r>
        <w:rPr>
          <w:lang w:eastAsia="en-AU"/>
        </w:rPr>
        <w:t>orm</w:t>
      </w:r>
      <w:r w:rsidR="00CE1A60">
        <w:rPr>
          <w:lang w:eastAsia="en-AU"/>
        </w:rPr>
        <w:t xml:space="preserve"> 32</w:t>
      </w:r>
      <w:r>
        <w:rPr>
          <w:lang w:eastAsia="en-AU"/>
        </w:rPr>
        <w:t xml:space="preserve">, deidentified, at </w:t>
      </w:r>
      <w:r w:rsidRPr="003D4AF1">
        <w:rPr>
          <w:b/>
        </w:rPr>
        <w:t>Appendix A</w:t>
      </w:r>
      <w:r>
        <w:rPr>
          <w:lang w:eastAsia="en-AU"/>
        </w:rPr>
        <w:t>.</w:t>
      </w:r>
      <w:r w:rsidRPr="00917E9A">
        <w:rPr>
          <w:lang w:eastAsia="en-AU"/>
        </w:rPr>
        <w:t xml:space="preserve"> </w:t>
      </w:r>
    </w:p>
    <w:p w14:paraId="222C6DA5" w14:textId="4244582A" w:rsidR="009676B7" w:rsidRDefault="006A27A7" w:rsidP="009676B7">
      <w:pPr>
        <w:pStyle w:val="VLADocumentText"/>
      </w:pPr>
      <w:r>
        <w:t>A consistent finding over</w:t>
      </w:r>
      <w:r w:rsidR="009676B7" w:rsidRPr="6B33164D">
        <w:t xml:space="preserve"> </w:t>
      </w:r>
      <w:r w:rsidR="009676B7">
        <w:t xml:space="preserve">10 years of committals reviews and reforms across Australia </w:t>
      </w:r>
      <w:r>
        <w:t xml:space="preserve">is that </w:t>
      </w:r>
      <w:r w:rsidR="009676B7">
        <w:t xml:space="preserve">disclosure is the key </w:t>
      </w:r>
      <w:r w:rsidR="00567C85">
        <w:t>element of</w:t>
      </w:r>
      <w:r w:rsidR="009676B7">
        <w:t xml:space="preserve"> early resolution and efficiency</w:t>
      </w:r>
      <w:r w:rsidR="16BFAE89" w:rsidRPr="6B33164D">
        <w:t>.</w:t>
      </w:r>
      <w:r w:rsidR="0042106D">
        <w:rPr>
          <w:rStyle w:val="FootnoteReference"/>
        </w:rPr>
        <w:footnoteReference w:id="33"/>
      </w:r>
      <w:r w:rsidR="0076464D">
        <w:t xml:space="preserve"> </w:t>
      </w:r>
      <w:r w:rsidR="009676B7">
        <w:t xml:space="preserve">Despite reform and investment, disclosure issues persist in these jurisdictions. </w:t>
      </w:r>
      <w:r w:rsidR="00E84AAA">
        <w:t xml:space="preserve">This supports </w:t>
      </w:r>
      <w:r w:rsidR="009676B7">
        <w:t>the</w:t>
      </w:r>
      <w:r w:rsidR="00E84AAA" w:rsidRPr="6B33164D">
        <w:t xml:space="preserve"> </w:t>
      </w:r>
      <w:r w:rsidR="00E84AAA">
        <w:t>conclusion that</w:t>
      </w:r>
      <w:r w:rsidR="009676B7">
        <w:t xml:space="preserve"> cultural practices are unlikely to change until there are real and significant consequences for failure to comply</w:t>
      </w:r>
      <w:r w:rsidR="00E84AAA">
        <w:t xml:space="preserve"> with disclosure requirements</w:t>
      </w:r>
      <w:r w:rsidR="009676B7" w:rsidRPr="6B33164D">
        <w:t xml:space="preserve">. </w:t>
      </w:r>
      <w:r w:rsidR="00567C85">
        <w:t>In our view, e</w:t>
      </w:r>
      <w:r w:rsidR="009676B7">
        <w:t xml:space="preserve">nforceability of disclosure is the key to properly incentivising engagement with the evidence and compliance with obligations by all parties. </w:t>
      </w:r>
    </w:p>
    <w:p w14:paraId="40FC6EBC" w14:textId="2C946214" w:rsidR="00F6132B" w:rsidRPr="001E0052" w:rsidRDefault="00237363" w:rsidP="00477100">
      <w:pPr>
        <w:pStyle w:val="VLADocumentText"/>
        <w:rPr>
          <w:rFonts w:cs="Arial"/>
          <w:lang w:eastAsia="en-AU"/>
        </w:rPr>
      </w:pPr>
      <w:r>
        <w:rPr>
          <w:rFonts w:cs="Arial"/>
          <w:lang w:eastAsia="en-AU"/>
        </w:rPr>
        <w:t>Practitioners</w:t>
      </w:r>
      <w:r w:rsidR="001E0052">
        <w:rPr>
          <w:rFonts w:cs="Arial"/>
          <w:lang w:eastAsia="en-AU"/>
        </w:rPr>
        <w:t xml:space="preserve"> from Legal Aid Queensland indicate </w:t>
      </w:r>
      <w:r w:rsidR="001E0052" w:rsidRPr="00C92052">
        <w:rPr>
          <w:rFonts w:cs="Arial"/>
          <w:lang w:eastAsia="en-AU"/>
        </w:rPr>
        <w:t xml:space="preserve">that sometimes police officers are ordered to attend court to give evidence as to why they have failed to meet disclosure obligations. However, this course is only adopted after </w:t>
      </w:r>
      <w:r w:rsidR="001E0052">
        <w:rPr>
          <w:rFonts w:cs="Arial"/>
          <w:lang w:eastAsia="en-AU"/>
        </w:rPr>
        <w:t xml:space="preserve">extensive </w:t>
      </w:r>
      <w:r w:rsidR="001E0052" w:rsidRPr="00C92052">
        <w:rPr>
          <w:rFonts w:cs="Arial"/>
          <w:lang w:eastAsia="en-AU"/>
        </w:rPr>
        <w:t xml:space="preserve">court time </w:t>
      </w:r>
      <w:r w:rsidR="001E0052">
        <w:rPr>
          <w:rFonts w:cs="Arial"/>
          <w:lang w:eastAsia="en-AU"/>
        </w:rPr>
        <w:t>has been used</w:t>
      </w:r>
      <w:r w:rsidR="001E0052" w:rsidRPr="00C92052">
        <w:rPr>
          <w:rFonts w:cs="Arial"/>
          <w:lang w:eastAsia="en-AU"/>
        </w:rPr>
        <w:t xml:space="preserve">. </w:t>
      </w:r>
      <w:r w:rsidR="001E0052" w:rsidRPr="008B5A4C">
        <w:rPr>
          <w:rFonts w:cs="Arial"/>
          <w:lang w:eastAsia="en-AU"/>
        </w:rPr>
        <w:t xml:space="preserve">In </w:t>
      </w:r>
      <w:r w:rsidR="00A23957">
        <w:rPr>
          <w:rFonts w:cs="Arial"/>
          <w:lang w:eastAsia="en-AU"/>
        </w:rPr>
        <w:t xml:space="preserve">addition the </w:t>
      </w:r>
      <w:r w:rsidR="00A23957">
        <w:rPr>
          <w:rFonts w:cs="Arial"/>
          <w:lang w:eastAsia="en-AU"/>
        </w:rPr>
        <w:lastRenderedPageBreak/>
        <w:t xml:space="preserve">court in </w:t>
      </w:r>
      <w:r w:rsidR="001E0052" w:rsidRPr="00535B51">
        <w:rPr>
          <w:rFonts w:cs="Arial"/>
          <w:lang w:eastAsia="en-AU"/>
        </w:rPr>
        <w:t>Queensland</w:t>
      </w:r>
      <w:r w:rsidR="001E0052" w:rsidRPr="008B5A4C">
        <w:rPr>
          <w:rFonts w:cs="Arial"/>
          <w:lang w:eastAsia="en-AU"/>
        </w:rPr>
        <w:t xml:space="preserve"> </w:t>
      </w:r>
      <w:r w:rsidR="001E0052">
        <w:rPr>
          <w:rFonts w:cs="Arial"/>
          <w:lang w:eastAsia="en-AU"/>
        </w:rPr>
        <w:t>may</w:t>
      </w:r>
      <w:r w:rsidR="001E0052" w:rsidRPr="00C92052">
        <w:rPr>
          <w:rFonts w:cs="Arial"/>
          <w:lang w:eastAsia="en-AU"/>
        </w:rPr>
        <w:t xml:space="preserve"> order costs in favour of the accused where full disclosure has not been complied with and the non-compliance was unjustified, unreasonable or deliberate. </w:t>
      </w:r>
      <w:r w:rsidR="001E0052">
        <w:rPr>
          <w:rFonts w:cs="Arial"/>
          <w:lang w:eastAsia="en-AU"/>
        </w:rPr>
        <w:t>However,</w:t>
      </w:r>
      <w:r w:rsidR="001E0052" w:rsidRPr="00C92052">
        <w:rPr>
          <w:rFonts w:cs="Arial"/>
          <w:lang w:eastAsia="en-AU"/>
        </w:rPr>
        <w:t xml:space="preserve"> </w:t>
      </w:r>
      <w:r w:rsidR="003B0EA5">
        <w:rPr>
          <w:rFonts w:cs="Arial"/>
          <w:lang w:eastAsia="en-AU"/>
        </w:rPr>
        <w:t xml:space="preserve">Legal Aid Queensland </w:t>
      </w:r>
      <w:r w:rsidR="001E0052" w:rsidRPr="00C92052">
        <w:rPr>
          <w:rFonts w:cs="Arial"/>
          <w:lang w:eastAsia="en-AU"/>
        </w:rPr>
        <w:t>advise</w:t>
      </w:r>
      <w:r w:rsidR="003B0EA5">
        <w:rPr>
          <w:rFonts w:cs="Arial"/>
          <w:lang w:eastAsia="en-AU"/>
        </w:rPr>
        <w:t>s</w:t>
      </w:r>
      <w:r w:rsidR="001E0052" w:rsidRPr="00C92052">
        <w:rPr>
          <w:rFonts w:cs="Arial"/>
          <w:lang w:eastAsia="en-AU"/>
        </w:rPr>
        <w:t xml:space="preserve"> that this </w:t>
      </w:r>
      <w:r w:rsidR="001E0052">
        <w:rPr>
          <w:rFonts w:cs="Arial"/>
          <w:lang w:eastAsia="en-AU"/>
        </w:rPr>
        <w:t>ability to order costs</w:t>
      </w:r>
      <w:r w:rsidR="001E0052" w:rsidRPr="00C92052">
        <w:rPr>
          <w:rFonts w:cs="Arial"/>
          <w:lang w:eastAsia="en-AU"/>
        </w:rPr>
        <w:t xml:space="preserve"> is rarely </w:t>
      </w:r>
      <w:r w:rsidR="00024C91">
        <w:rPr>
          <w:rFonts w:cs="Arial"/>
          <w:lang w:eastAsia="en-AU"/>
        </w:rPr>
        <w:t xml:space="preserve">or </w:t>
      </w:r>
      <w:r w:rsidR="001E0052" w:rsidRPr="00C92052">
        <w:rPr>
          <w:rFonts w:cs="Arial"/>
          <w:lang w:eastAsia="en-AU"/>
        </w:rPr>
        <w:t>never used.</w:t>
      </w:r>
    </w:p>
    <w:p w14:paraId="10340C59" w14:textId="3F4DCD50" w:rsidR="00260BB6" w:rsidRPr="00E44D59" w:rsidRDefault="00260BB6" w:rsidP="00817ABC">
      <w:pPr>
        <w:pStyle w:val="Heading1"/>
      </w:pPr>
      <w:bookmarkStart w:id="62" w:name="_Toc17050677"/>
      <w:bookmarkStart w:id="63" w:name="_Toc17155092"/>
      <w:r w:rsidRPr="00E44D59">
        <w:t>Question 5. To what extent do committal proceedings play a necessary role in ensuring proper and timely disclosure?</w:t>
      </w:r>
      <w:bookmarkEnd w:id="62"/>
      <w:bookmarkEnd w:id="63"/>
      <w:r w:rsidRPr="00E44D59">
        <w:t xml:space="preserve"> </w:t>
      </w:r>
    </w:p>
    <w:p w14:paraId="4B5249AC" w14:textId="60985D07" w:rsidR="003F1720" w:rsidRDefault="00CB1674" w:rsidP="00260BB6">
      <w:pPr>
        <w:pStyle w:val="VLADocumentText"/>
        <w:rPr>
          <w:lang w:eastAsia="en-AU"/>
        </w:rPr>
      </w:pPr>
      <w:r>
        <w:t xml:space="preserve">In our experience, </w:t>
      </w:r>
      <w:r w:rsidRPr="00917E9A">
        <w:rPr>
          <w:lang w:eastAsia="en-AU"/>
        </w:rPr>
        <w:t xml:space="preserve">committal </w:t>
      </w:r>
      <w:r w:rsidR="00F17EEC">
        <w:rPr>
          <w:lang w:eastAsia="en-AU"/>
        </w:rPr>
        <w:t>proceedings are</w:t>
      </w:r>
      <w:r>
        <w:rPr>
          <w:lang w:eastAsia="en-AU"/>
        </w:rPr>
        <w:t xml:space="preserve"> the primary </w:t>
      </w:r>
      <w:r w:rsidRPr="00917E9A">
        <w:rPr>
          <w:lang w:eastAsia="en-AU"/>
        </w:rPr>
        <w:t>mechanism to ensure</w:t>
      </w:r>
      <w:r>
        <w:rPr>
          <w:lang w:eastAsia="en-AU"/>
        </w:rPr>
        <w:t xml:space="preserve"> that disclosure obligations are complied with</w:t>
      </w:r>
      <w:r w:rsidR="003F1720">
        <w:rPr>
          <w:lang w:eastAsia="en-AU"/>
        </w:rPr>
        <w:t xml:space="preserve">, and </w:t>
      </w:r>
      <w:r w:rsidR="003F1720">
        <w:rPr>
          <w:rFonts w:cs="Arial"/>
          <w:lang w:eastAsia="en-AU"/>
        </w:rPr>
        <w:t>mitigate</w:t>
      </w:r>
      <w:r w:rsidR="003F1720" w:rsidRPr="00E44D59">
        <w:rPr>
          <w:rFonts w:cs="Arial"/>
          <w:lang w:eastAsia="en-AU"/>
        </w:rPr>
        <w:t xml:space="preserve"> </w:t>
      </w:r>
      <w:r w:rsidR="003F1720">
        <w:rPr>
          <w:rFonts w:cs="Arial"/>
          <w:lang w:eastAsia="en-AU"/>
        </w:rPr>
        <w:t xml:space="preserve">any </w:t>
      </w:r>
      <w:r w:rsidR="003F1720" w:rsidRPr="00E44D59">
        <w:rPr>
          <w:rFonts w:cs="Arial"/>
          <w:lang w:eastAsia="en-AU"/>
        </w:rPr>
        <w:t xml:space="preserve">prejudice that flows from inadequate disclosure </w:t>
      </w:r>
      <w:r w:rsidR="00F17EEC">
        <w:rPr>
          <w:rFonts w:cs="Arial"/>
          <w:lang w:eastAsia="en-AU"/>
        </w:rPr>
        <w:t xml:space="preserve">by </w:t>
      </w:r>
      <w:r w:rsidR="003F1720">
        <w:rPr>
          <w:rFonts w:cs="Arial"/>
          <w:lang w:eastAsia="en-AU"/>
        </w:rPr>
        <w:t xml:space="preserve">enabling the </w:t>
      </w:r>
      <w:r w:rsidR="003F1720" w:rsidRPr="00E44D59">
        <w:rPr>
          <w:rFonts w:cs="Arial"/>
          <w:lang w:eastAsia="en-AU"/>
        </w:rPr>
        <w:t xml:space="preserve">crown case </w:t>
      </w:r>
      <w:r w:rsidR="003F1720">
        <w:rPr>
          <w:rFonts w:cs="Arial"/>
          <w:lang w:eastAsia="en-AU"/>
        </w:rPr>
        <w:t>to be tested at that early stage</w:t>
      </w:r>
      <w:r>
        <w:rPr>
          <w:lang w:eastAsia="en-AU"/>
        </w:rPr>
        <w:t>.</w:t>
      </w:r>
      <w:r w:rsidR="00FE7103">
        <w:rPr>
          <w:lang w:eastAsia="en-AU"/>
        </w:rPr>
        <w:t xml:space="preserve"> </w:t>
      </w:r>
      <w:r w:rsidR="004D6D9F">
        <w:t xml:space="preserve">Our regional </w:t>
      </w:r>
      <w:r w:rsidR="00F17EEC">
        <w:t xml:space="preserve">office colleagues </w:t>
      </w:r>
      <w:r w:rsidR="00A52F64">
        <w:t xml:space="preserve">indicate </w:t>
      </w:r>
      <w:r w:rsidR="004D6D9F">
        <w:t xml:space="preserve">that lack of early case management impedes appropriate disclosure. </w:t>
      </w:r>
      <w:r w:rsidR="00FC6B91">
        <w:t>In addition, t</w:t>
      </w:r>
      <w:r w:rsidR="004D6D9F">
        <w:t xml:space="preserve">he experience of interstate legal aid practitioners is that removing committals has led to a deterioration </w:t>
      </w:r>
      <w:r w:rsidR="00497D7D">
        <w:t>in</w:t>
      </w:r>
      <w:r w:rsidR="004D6D9F">
        <w:t xml:space="preserve"> pre-trial disclosure.</w:t>
      </w:r>
    </w:p>
    <w:p w14:paraId="139444ED" w14:textId="36831C33" w:rsidR="00EB71CB" w:rsidRDefault="00260BB6" w:rsidP="00260BB6">
      <w:pPr>
        <w:pStyle w:val="VLADocumentText"/>
      </w:pPr>
      <w:r>
        <w:t>Disclosure is more than the provision of documents</w:t>
      </w:r>
      <w:r w:rsidR="00DC43D0">
        <w:t>,</w:t>
      </w:r>
      <w:r>
        <w:t xml:space="preserve"> </w:t>
      </w:r>
      <w:r w:rsidR="003F1720">
        <w:t>i</w:t>
      </w:r>
      <w:r>
        <w:t>t is about preparing the case for trial and obtaining the relevant evidence to enable a fair trial.</w:t>
      </w:r>
      <w:r w:rsidR="009676B7" w:rsidRPr="009676B7">
        <w:t xml:space="preserve"> </w:t>
      </w:r>
      <w:r w:rsidR="009676B7">
        <w:t>The value</w:t>
      </w:r>
      <w:r w:rsidR="009676B7" w:rsidRPr="009E3FFF">
        <w:t xml:space="preserve"> of </w:t>
      </w:r>
      <w:r w:rsidR="009676B7">
        <w:t>a well</w:t>
      </w:r>
      <w:r w:rsidR="008BC0C5">
        <w:t>-</w:t>
      </w:r>
      <w:r w:rsidR="009676B7">
        <w:t>run</w:t>
      </w:r>
      <w:r w:rsidR="009676B7" w:rsidRPr="009E3FFF">
        <w:t xml:space="preserve"> committal is </w:t>
      </w:r>
      <w:r w:rsidR="009676B7">
        <w:t>a well-prepared,</w:t>
      </w:r>
      <w:r w:rsidR="009676B7" w:rsidRPr="009E3FFF">
        <w:t xml:space="preserve"> confined and economically run trial. </w:t>
      </w:r>
      <w:r w:rsidR="00EB71CB">
        <w:t xml:space="preserve">Committal proceedings are </w:t>
      </w:r>
      <w:r>
        <w:t xml:space="preserve">crucial </w:t>
      </w:r>
      <w:r w:rsidR="00EB71CB">
        <w:t xml:space="preserve">to proper disclosure as they: </w:t>
      </w:r>
    </w:p>
    <w:p w14:paraId="73216B0D" w14:textId="08245ACF" w:rsidR="00EB71CB" w:rsidRDefault="00EB71CB" w:rsidP="00EB71CB">
      <w:pPr>
        <w:pStyle w:val="VLADocumentText"/>
        <w:numPr>
          <w:ilvl w:val="0"/>
          <w:numId w:val="49"/>
        </w:numPr>
      </w:pPr>
      <w:r>
        <w:t xml:space="preserve">enable the </w:t>
      </w:r>
      <w:r w:rsidR="00260BB6">
        <w:t>identif</w:t>
      </w:r>
      <w:r>
        <w:t>ication of</w:t>
      </w:r>
      <w:r w:rsidR="00260BB6">
        <w:t xml:space="preserve"> credibility and reliability issues which often lead to further investigation</w:t>
      </w:r>
      <w:r>
        <w:t>;</w:t>
      </w:r>
    </w:p>
    <w:p w14:paraId="13075C63" w14:textId="651C3111" w:rsidR="00EB71CB" w:rsidRDefault="00EB71CB" w:rsidP="00EB71CB">
      <w:pPr>
        <w:pStyle w:val="VLADocumentText"/>
        <w:numPr>
          <w:ilvl w:val="0"/>
          <w:numId w:val="49"/>
        </w:numPr>
      </w:pPr>
      <w:r>
        <w:t xml:space="preserve">ensure that all parties prepare for the matter in advance of the trial, particularly in regional courts; </w:t>
      </w:r>
    </w:p>
    <w:p w14:paraId="13D1B59D" w14:textId="5EC6DEC6" w:rsidR="00FE7103" w:rsidRDefault="00FE7103" w:rsidP="00FE7103">
      <w:pPr>
        <w:pStyle w:val="VLADocumentText"/>
        <w:numPr>
          <w:ilvl w:val="0"/>
          <w:numId w:val="49"/>
        </w:numPr>
      </w:pPr>
      <w:r>
        <w:t>hold parties to account to ensure that all the required evidence is made available;</w:t>
      </w:r>
    </w:p>
    <w:p w14:paraId="4E02C739" w14:textId="4C6356CF" w:rsidR="00EB71CB" w:rsidRDefault="00EB71CB" w:rsidP="00260BB6">
      <w:pPr>
        <w:pStyle w:val="VLADocumentText"/>
        <w:numPr>
          <w:ilvl w:val="0"/>
          <w:numId w:val="49"/>
        </w:numPr>
      </w:pPr>
      <w:r>
        <w:t>ensure the information disclosed adheres to the stringent obligations required in indictable matters; and</w:t>
      </w:r>
    </w:p>
    <w:p w14:paraId="6965F6BE" w14:textId="20B26774" w:rsidR="00260BB6" w:rsidRPr="00EB71CB" w:rsidRDefault="00EB71CB" w:rsidP="00EB71CB">
      <w:pPr>
        <w:pStyle w:val="VLADocumentText"/>
        <w:numPr>
          <w:ilvl w:val="0"/>
          <w:numId w:val="49"/>
        </w:numPr>
      </w:pPr>
      <w:r>
        <w:t>provide the defence with an appropriate period of time before the trial to obtain additional evidence which may only have been revealed in committal</w:t>
      </w:r>
      <w:r w:rsidR="00260BB6">
        <w:t xml:space="preserve">. </w:t>
      </w:r>
    </w:p>
    <w:p w14:paraId="7411CA82" w14:textId="6E43B53A" w:rsidR="003F1720" w:rsidRDefault="003F1720" w:rsidP="003F1720">
      <w:pPr>
        <w:pStyle w:val="Heading3"/>
      </w:pPr>
      <w:bookmarkStart w:id="64" w:name="_Toc17050678"/>
      <w:bookmarkStart w:id="65" w:name="_Toc17155093"/>
      <w:r>
        <w:t>Victorian regional experience</w:t>
      </w:r>
      <w:bookmarkEnd w:id="64"/>
      <w:bookmarkEnd w:id="65"/>
    </w:p>
    <w:p w14:paraId="226B4F8B" w14:textId="37331FBE" w:rsidR="00BF5C23" w:rsidRDefault="00B112F8" w:rsidP="00260BB6">
      <w:pPr>
        <w:pStyle w:val="VLADocumentText"/>
        <w:rPr>
          <w:lang w:eastAsia="en-AU"/>
        </w:rPr>
      </w:pPr>
      <w:r w:rsidRPr="00A64094">
        <w:rPr>
          <w:lang w:eastAsia="en-AU"/>
        </w:rPr>
        <w:t xml:space="preserve">Committals present an opportunity for early resolution in regional circuits. </w:t>
      </w:r>
      <w:r w:rsidR="00260BB6" w:rsidRPr="00A64094">
        <w:rPr>
          <w:lang w:eastAsia="en-AU"/>
        </w:rPr>
        <w:t xml:space="preserve">Disclosure issues </w:t>
      </w:r>
      <w:r w:rsidR="007667CD">
        <w:rPr>
          <w:lang w:eastAsia="en-AU"/>
        </w:rPr>
        <w:t>persist</w:t>
      </w:r>
      <w:r w:rsidR="007667CD" w:rsidRPr="00A64094">
        <w:rPr>
          <w:lang w:eastAsia="en-AU"/>
        </w:rPr>
        <w:t xml:space="preserve"> </w:t>
      </w:r>
      <w:r w:rsidR="00260BB6" w:rsidRPr="00A64094">
        <w:rPr>
          <w:lang w:eastAsia="en-AU"/>
        </w:rPr>
        <w:t>across the state</w:t>
      </w:r>
      <w:r w:rsidR="00260BB6">
        <w:rPr>
          <w:lang w:eastAsia="en-AU"/>
        </w:rPr>
        <w:t>,</w:t>
      </w:r>
      <w:r w:rsidR="00260BB6" w:rsidRPr="00A64094">
        <w:rPr>
          <w:lang w:eastAsia="en-AU"/>
        </w:rPr>
        <w:t xml:space="preserve"> but the shortfalls </w:t>
      </w:r>
      <w:r w:rsidR="007667CD">
        <w:rPr>
          <w:lang w:eastAsia="en-AU"/>
        </w:rPr>
        <w:t xml:space="preserve">and impacts </w:t>
      </w:r>
      <w:r w:rsidR="00260BB6" w:rsidRPr="00A64094">
        <w:rPr>
          <w:lang w:eastAsia="en-AU"/>
        </w:rPr>
        <w:t xml:space="preserve">are </w:t>
      </w:r>
      <w:r w:rsidR="00260BB6">
        <w:rPr>
          <w:lang w:eastAsia="en-AU"/>
        </w:rPr>
        <w:t xml:space="preserve">more frequent and acute </w:t>
      </w:r>
      <w:r w:rsidR="00260BB6" w:rsidRPr="00A64094">
        <w:rPr>
          <w:lang w:eastAsia="en-AU"/>
        </w:rPr>
        <w:t>in regional areas</w:t>
      </w:r>
      <w:r w:rsidR="00260BB6">
        <w:rPr>
          <w:lang w:eastAsia="en-AU"/>
        </w:rPr>
        <w:t xml:space="preserve">. There are many reasons for this, </w:t>
      </w:r>
      <w:r w:rsidR="00BF5C23">
        <w:rPr>
          <w:lang w:eastAsia="en-AU"/>
        </w:rPr>
        <w:t>the most significant being differences in police practice</w:t>
      </w:r>
      <w:r w:rsidR="008C1FF3">
        <w:rPr>
          <w:lang w:eastAsia="en-AU"/>
        </w:rPr>
        <w:t>, resourcing limitations</w:t>
      </w:r>
      <w:r w:rsidR="00BF5C23">
        <w:rPr>
          <w:lang w:eastAsia="en-AU"/>
        </w:rPr>
        <w:t xml:space="preserve"> and </w:t>
      </w:r>
      <w:r w:rsidR="002B6FFC">
        <w:rPr>
          <w:lang w:eastAsia="en-AU"/>
        </w:rPr>
        <w:t>issues associated with</w:t>
      </w:r>
      <w:r w:rsidR="00BF5C23">
        <w:rPr>
          <w:lang w:eastAsia="en-AU"/>
        </w:rPr>
        <w:t xml:space="preserve"> circuit listings. </w:t>
      </w:r>
    </w:p>
    <w:p w14:paraId="07B7BDFB" w14:textId="265BEBA7" w:rsidR="00260BB6" w:rsidRDefault="00BF5C23" w:rsidP="00260BB6">
      <w:pPr>
        <w:pStyle w:val="VLADocumentText"/>
        <w:rPr>
          <w:lang w:eastAsia="en-AU"/>
        </w:rPr>
      </w:pPr>
      <w:r>
        <w:rPr>
          <w:lang w:eastAsia="en-AU"/>
        </w:rPr>
        <w:t>VLA regional lawyers report that removing c</w:t>
      </w:r>
      <w:r w:rsidRPr="00A64094">
        <w:rPr>
          <w:lang w:eastAsia="en-AU"/>
        </w:rPr>
        <w:t xml:space="preserve">ommittals </w:t>
      </w:r>
      <w:r>
        <w:rPr>
          <w:lang w:eastAsia="en-AU"/>
        </w:rPr>
        <w:t xml:space="preserve">from the regional courts is likely to </w:t>
      </w:r>
      <w:r w:rsidRPr="00A64094">
        <w:rPr>
          <w:lang w:eastAsia="en-AU"/>
        </w:rPr>
        <w:t xml:space="preserve">have a significant </w:t>
      </w:r>
      <w:r>
        <w:rPr>
          <w:lang w:eastAsia="en-AU"/>
        </w:rPr>
        <w:t xml:space="preserve">detrimental </w:t>
      </w:r>
      <w:r w:rsidRPr="00A64094">
        <w:rPr>
          <w:lang w:eastAsia="en-AU"/>
        </w:rPr>
        <w:t>effect on circuit lists</w:t>
      </w:r>
      <w:r>
        <w:rPr>
          <w:lang w:eastAsia="en-AU"/>
        </w:rPr>
        <w:t xml:space="preserve">, as this </w:t>
      </w:r>
      <w:r w:rsidR="008C2BDB">
        <w:rPr>
          <w:lang w:eastAsia="en-AU"/>
        </w:rPr>
        <w:t xml:space="preserve">will </w:t>
      </w:r>
      <w:r>
        <w:rPr>
          <w:lang w:eastAsia="en-AU"/>
        </w:rPr>
        <w:t>effectively remove the only</w:t>
      </w:r>
      <w:r w:rsidRPr="00A64094">
        <w:rPr>
          <w:lang w:eastAsia="en-AU"/>
        </w:rPr>
        <w:t xml:space="preserve"> </w:t>
      </w:r>
      <w:r w:rsidR="002B6FFC">
        <w:rPr>
          <w:lang w:eastAsia="en-AU"/>
        </w:rPr>
        <w:t xml:space="preserve">procedural </w:t>
      </w:r>
      <w:r w:rsidRPr="00A64094">
        <w:rPr>
          <w:lang w:eastAsia="en-AU"/>
        </w:rPr>
        <w:t xml:space="preserve">impetus </w:t>
      </w:r>
      <w:r w:rsidR="002B6FFC">
        <w:rPr>
          <w:lang w:eastAsia="en-AU"/>
        </w:rPr>
        <w:t>to closely</w:t>
      </w:r>
      <w:r w:rsidRPr="00A64094">
        <w:rPr>
          <w:lang w:eastAsia="en-AU"/>
        </w:rPr>
        <w:t xml:space="preserve"> </w:t>
      </w:r>
      <w:r w:rsidR="002B6FFC">
        <w:rPr>
          <w:lang w:eastAsia="en-AU"/>
        </w:rPr>
        <w:t xml:space="preserve">examine </w:t>
      </w:r>
      <w:r w:rsidRPr="00A64094">
        <w:rPr>
          <w:lang w:eastAsia="en-AU"/>
        </w:rPr>
        <w:t xml:space="preserve">issues and </w:t>
      </w:r>
      <w:r w:rsidR="002B6FFC">
        <w:rPr>
          <w:lang w:eastAsia="en-AU"/>
        </w:rPr>
        <w:t>seek</w:t>
      </w:r>
      <w:r w:rsidR="007F2760">
        <w:rPr>
          <w:lang w:eastAsia="en-AU"/>
        </w:rPr>
        <w:t xml:space="preserve"> </w:t>
      </w:r>
      <w:r w:rsidR="002B6FFC">
        <w:rPr>
          <w:lang w:eastAsia="en-AU"/>
        </w:rPr>
        <w:t>early resolution</w:t>
      </w:r>
      <w:r>
        <w:rPr>
          <w:lang w:eastAsia="en-AU"/>
        </w:rPr>
        <w:t xml:space="preserve">. </w:t>
      </w:r>
      <w:r w:rsidR="00B112F8">
        <w:rPr>
          <w:lang w:eastAsia="en-AU"/>
        </w:rPr>
        <w:t xml:space="preserve">Regional </w:t>
      </w:r>
      <w:r w:rsidR="00260BB6" w:rsidRPr="00A64094">
        <w:rPr>
          <w:lang w:eastAsia="en-AU"/>
        </w:rPr>
        <w:t>circuits provide no trial date certainty</w:t>
      </w:r>
      <w:r w:rsidRPr="00BF5C23">
        <w:rPr>
          <w:lang w:eastAsia="en-AU"/>
        </w:rPr>
        <w:t xml:space="preserve"> </w:t>
      </w:r>
      <w:r w:rsidRPr="00A64094">
        <w:rPr>
          <w:lang w:eastAsia="en-AU"/>
        </w:rPr>
        <w:t>and matters often get bumped out of a circuit or do not get reached</w:t>
      </w:r>
      <w:r>
        <w:rPr>
          <w:lang w:eastAsia="en-AU"/>
        </w:rPr>
        <w:t>.</w:t>
      </w:r>
      <w:r w:rsidR="00260BB6" w:rsidRPr="00A64094">
        <w:rPr>
          <w:lang w:eastAsia="en-AU"/>
        </w:rPr>
        <w:t xml:space="preserve"> </w:t>
      </w:r>
      <w:r>
        <w:rPr>
          <w:lang w:eastAsia="en-AU"/>
        </w:rPr>
        <w:t>A</w:t>
      </w:r>
      <w:r w:rsidR="00B112F8">
        <w:rPr>
          <w:lang w:eastAsia="en-AU"/>
        </w:rPr>
        <w:t>s a result</w:t>
      </w:r>
      <w:r w:rsidR="007667CD">
        <w:rPr>
          <w:lang w:eastAsia="en-AU"/>
        </w:rPr>
        <w:t>,</w:t>
      </w:r>
      <w:r w:rsidR="00B112F8">
        <w:rPr>
          <w:lang w:eastAsia="en-AU"/>
        </w:rPr>
        <w:t xml:space="preserve"> </w:t>
      </w:r>
      <w:r w:rsidR="00260BB6" w:rsidRPr="00A64094">
        <w:rPr>
          <w:lang w:eastAsia="en-AU"/>
        </w:rPr>
        <w:t xml:space="preserve">matters are often left dormant until allocated to a specific circuit and OPP </w:t>
      </w:r>
      <w:r w:rsidR="00260BB6">
        <w:rPr>
          <w:lang w:eastAsia="en-AU"/>
        </w:rPr>
        <w:t>counsel</w:t>
      </w:r>
      <w:r>
        <w:rPr>
          <w:lang w:eastAsia="en-AU"/>
        </w:rPr>
        <w:t>, and</w:t>
      </w:r>
      <w:r w:rsidR="00260BB6" w:rsidRPr="00A64094">
        <w:rPr>
          <w:lang w:eastAsia="en-AU"/>
        </w:rPr>
        <w:t xml:space="preserve"> </w:t>
      </w:r>
      <w:r>
        <w:rPr>
          <w:lang w:eastAsia="en-AU"/>
        </w:rPr>
        <w:t>t</w:t>
      </w:r>
      <w:r w:rsidR="00260BB6" w:rsidRPr="00A64094">
        <w:rPr>
          <w:lang w:eastAsia="en-AU"/>
        </w:rPr>
        <w:t xml:space="preserve">here is often no continuity of OPP </w:t>
      </w:r>
      <w:r w:rsidR="00260BB6">
        <w:rPr>
          <w:lang w:eastAsia="en-AU"/>
        </w:rPr>
        <w:t>c</w:t>
      </w:r>
      <w:r w:rsidR="00260BB6" w:rsidRPr="00A64094">
        <w:rPr>
          <w:lang w:eastAsia="en-AU"/>
        </w:rPr>
        <w:t xml:space="preserve">ounsel </w:t>
      </w:r>
      <w:r w:rsidR="00260BB6">
        <w:rPr>
          <w:lang w:eastAsia="en-AU"/>
        </w:rPr>
        <w:t xml:space="preserve">or solicitor </w:t>
      </w:r>
      <w:r w:rsidR="00260BB6" w:rsidRPr="00A64094">
        <w:rPr>
          <w:lang w:eastAsia="en-AU"/>
        </w:rPr>
        <w:t>at circuits</w:t>
      </w:r>
      <w:r w:rsidR="00260BB6">
        <w:rPr>
          <w:lang w:eastAsia="en-AU"/>
        </w:rPr>
        <w:t>.</w:t>
      </w:r>
      <w:r w:rsidR="00260BB6" w:rsidRPr="00A64094">
        <w:rPr>
          <w:lang w:eastAsia="en-AU"/>
        </w:rPr>
        <w:t xml:space="preserve"> </w:t>
      </w:r>
      <w:r w:rsidR="00260BB6">
        <w:rPr>
          <w:lang w:eastAsia="en-AU"/>
        </w:rPr>
        <w:t>T</w:t>
      </w:r>
      <w:r w:rsidR="00260BB6" w:rsidRPr="00A64094">
        <w:rPr>
          <w:lang w:eastAsia="en-AU"/>
        </w:rPr>
        <w:t xml:space="preserve">his </w:t>
      </w:r>
      <w:r w:rsidR="00260BB6">
        <w:rPr>
          <w:lang w:eastAsia="en-AU"/>
        </w:rPr>
        <w:t>is a disincentive to</w:t>
      </w:r>
      <w:r w:rsidR="00260BB6" w:rsidRPr="00A64094">
        <w:rPr>
          <w:lang w:eastAsia="en-AU"/>
        </w:rPr>
        <w:t xml:space="preserve"> early resolution as there </w:t>
      </w:r>
      <w:r w:rsidR="00260BB6">
        <w:rPr>
          <w:lang w:eastAsia="en-AU"/>
        </w:rPr>
        <w:t xml:space="preserve">may be </w:t>
      </w:r>
      <w:r w:rsidR="00260BB6" w:rsidRPr="00A64094">
        <w:rPr>
          <w:lang w:eastAsia="en-AU"/>
        </w:rPr>
        <w:t xml:space="preserve">a reluctance to work on a matter if there is </w:t>
      </w:r>
      <w:r w:rsidR="00260BB6">
        <w:rPr>
          <w:lang w:eastAsia="en-AU"/>
        </w:rPr>
        <w:t xml:space="preserve">lack of accountability or </w:t>
      </w:r>
      <w:r w:rsidR="00260BB6" w:rsidRPr="00A64094">
        <w:rPr>
          <w:lang w:eastAsia="en-AU"/>
        </w:rPr>
        <w:t xml:space="preserve">a high degree of uncertainty as to whether it will </w:t>
      </w:r>
      <w:r w:rsidR="002F429F">
        <w:rPr>
          <w:lang w:eastAsia="en-AU"/>
        </w:rPr>
        <w:t>proceed</w:t>
      </w:r>
      <w:r w:rsidR="007F2760">
        <w:rPr>
          <w:lang w:eastAsia="en-AU"/>
        </w:rPr>
        <w:t xml:space="preserve"> </w:t>
      </w:r>
      <w:r w:rsidR="002F429F">
        <w:rPr>
          <w:lang w:eastAsia="en-AU"/>
        </w:rPr>
        <w:t>as listed</w:t>
      </w:r>
      <w:r w:rsidR="00260BB6" w:rsidRPr="00A64094">
        <w:rPr>
          <w:lang w:eastAsia="en-AU"/>
        </w:rPr>
        <w:t xml:space="preserve">. </w:t>
      </w:r>
    </w:p>
    <w:p w14:paraId="2BF40FA3" w14:textId="784DF049" w:rsidR="00BF5C23" w:rsidRDefault="00EB71CB" w:rsidP="00BF5C23">
      <w:pPr>
        <w:pStyle w:val="VLADocumentText"/>
        <w:rPr>
          <w:lang w:eastAsia="en-AU"/>
        </w:rPr>
      </w:pPr>
      <w:r>
        <w:rPr>
          <w:lang w:eastAsia="en-AU"/>
        </w:rPr>
        <w:t>Issues with c</w:t>
      </w:r>
      <w:r w:rsidR="00BF5C23">
        <w:rPr>
          <w:lang w:eastAsia="en-AU"/>
        </w:rPr>
        <w:t>ircuit list</w:t>
      </w:r>
      <w:r>
        <w:rPr>
          <w:lang w:eastAsia="en-AU"/>
        </w:rPr>
        <w:t>s</w:t>
      </w:r>
      <w:r w:rsidR="00BF5C23">
        <w:rPr>
          <w:lang w:eastAsia="en-AU"/>
        </w:rPr>
        <w:t xml:space="preserve"> and the lack of OPP counsel allocation </w:t>
      </w:r>
      <w:r>
        <w:rPr>
          <w:lang w:eastAsia="en-AU"/>
        </w:rPr>
        <w:t xml:space="preserve">are </w:t>
      </w:r>
      <w:r w:rsidR="00BF5C23" w:rsidRPr="00901738">
        <w:rPr>
          <w:lang w:eastAsia="en-AU"/>
        </w:rPr>
        <w:t xml:space="preserve">compounded by the fact that </w:t>
      </w:r>
      <w:r w:rsidR="00BF5C23">
        <w:rPr>
          <w:lang w:eastAsia="en-AU"/>
        </w:rPr>
        <w:t xml:space="preserve">local </w:t>
      </w:r>
      <w:r w:rsidR="00BF5C23" w:rsidRPr="00A64094">
        <w:rPr>
          <w:lang w:eastAsia="en-AU"/>
        </w:rPr>
        <w:t xml:space="preserve">police members may be less experienced in identifying what to disclose. </w:t>
      </w:r>
      <w:r w:rsidR="00BF5C23">
        <w:rPr>
          <w:lang w:eastAsia="en-AU"/>
        </w:rPr>
        <w:t>Local o</w:t>
      </w:r>
      <w:r w:rsidR="00BF5C23" w:rsidRPr="5DD12D3C">
        <w:rPr>
          <w:lang w:eastAsia="en-AU"/>
        </w:rPr>
        <w:t xml:space="preserve">fficers are </w:t>
      </w:r>
      <w:r w:rsidR="002F429F">
        <w:rPr>
          <w:lang w:eastAsia="en-AU"/>
        </w:rPr>
        <w:t xml:space="preserve">generally more experienced at </w:t>
      </w:r>
      <w:r w:rsidR="00BF5C23" w:rsidRPr="5DD12D3C">
        <w:rPr>
          <w:lang w:eastAsia="en-AU"/>
        </w:rPr>
        <w:t xml:space="preserve">appearing in the </w:t>
      </w:r>
      <w:r w:rsidR="00BF5C23">
        <w:rPr>
          <w:lang w:eastAsia="en-AU"/>
        </w:rPr>
        <w:t>s</w:t>
      </w:r>
      <w:r w:rsidR="00BF5C23" w:rsidRPr="5DD12D3C">
        <w:rPr>
          <w:lang w:eastAsia="en-AU"/>
        </w:rPr>
        <w:t xml:space="preserve">ummary </w:t>
      </w:r>
      <w:r w:rsidR="00BF5C23">
        <w:rPr>
          <w:lang w:eastAsia="en-AU"/>
        </w:rPr>
        <w:t>j</w:t>
      </w:r>
      <w:r w:rsidR="00BF5C23" w:rsidRPr="5DD12D3C">
        <w:rPr>
          <w:lang w:eastAsia="en-AU"/>
        </w:rPr>
        <w:t>urisdiction</w:t>
      </w:r>
      <w:r w:rsidR="00BF5C23">
        <w:rPr>
          <w:lang w:eastAsia="en-AU"/>
        </w:rPr>
        <w:t>,</w:t>
      </w:r>
      <w:r w:rsidR="00BF5C23" w:rsidRPr="5DD12D3C">
        <w:rPr>
          <w:lang w:eastAsia="en-AU"/>
        </w:rPr>
        <w:t xml:space="preserve"> where obligations for full </w:t>
      </w:r>
      <w:r w:rsidR="00BF5C23" w:rsidRPr="5DD12D3C">
        <w:rPr>
          <w:lang w:eastAsia="en-AU"/>
        </w:rPr>
        <w:lastRenderedPageBreak/>
        <w:t>disclosure are not routinely addressed</w:t>
      </w:r>
      <w:r w:rsidR="00BF5C23">
        <w:rPr>
          <w:lang w:eastAsia="en-AU"/>
        </w:rPr>
        <w:t>,</w:t>
      </w:r>
      <w:r w:rsidR="00BF5C23" w:rsidRPr="5DD12D3C">
        <w:rPr>
          <w:lang w:eastAsia="en-AU"/>
        </w:rPr>
        <w:t xml:space="preserve"> </w:t>
      </w:r>
      <w:r w:rsidR="00BF5C23">
        <w:rPr>
          <w:lang w:eastAsia="en-AU"/>
        </w:rPr>
        <w:t xml:space="preserve">and </w:t>
      </w:r>
      <w:r w:rsidR="002F429F">
        <w:rPr>
          <w:lang w:eastAsia="en-AU"/>
        </w:rPr>
        <w:t xml:space="preserve">may </w:t>
      </w:r>
      <w:r w:rsidR="00BF5C23">
        <w:rPr>
          <w:lang w:eastAsia="en-AU"/>
        </w:rPr>
        <w:t xml:space="preserve">have less experience with </w:t>
      </w:r>
      <w:r w:rsidR="00BF5C23" w:rsidRPr="5DD12D3C">
        <w:rPr>
          <w:lang w:eastAsia="en-AU"/>
        </w:rPr>
        <w:t xml:space="preserve">the stringent obligations of disclosure that need to be met in </w:t>
      </w:r>
      <w:r w:rsidR="00BF5C23">
        <w:rPr>
          <w:lang w:eastAsia="en-AU"/>
        </w:rPr>
        <w:t>the i</w:t>
      </w:r>
      <w:r w:rsidR="00BF5C23" w:rsidRPr="5DD12D3C">
        <w:rPr>
          <w:lang w:eastAsia="en-AU"/>
        </w:rPr>
        <w:t xml:space="preserve">ndictable </w:t>
      </w:r>
      <w:r w:rsidR="00BF5C23">
        <w:rPr>
          <w:lang w:eastAsia="en-AU"/>
        </w:rPr>
        <w:t>stream</w:t>
      </w:r>
      <w:r w:rsidR="00A57285">
        <w:rPr>
          <w:lang w:eastAsia="en-AU"/>
        </w:rPr>
        <w:t>.</w:t>
      </w:r>
      <w:r w:rsidR="00073140">
        <w:rPr>
          <w:lang w:eastAsia="en-AU"/>
        </w:rPr>
        <w:t xml:space="preserve"> </w:t>
      </w:r>
      <w:r w:rsidR="00A57285">
        <w:rPr>
          <w:lang w:eastAsia="en-AU"/>
        </w:rPr>
        <w:t xml:space="preserve">This can contribute to </w:t>
      </w:r>
      <w:r w:rsidR="00BF5C23">
        <w:rPr>
          <w:lang w:eastAsia="en-AU"/>
        </w:rPr>
        <w:t>delays in the provision of relevant material</w:t>
      </w:r>
      <w:r w:rsidR="00BF5C23" w:rsidRPr="5DD12D3C">
        <w:rPr>
          <w:lang w:eastAsia="en-AU"/>
        </w:rPr>
        <w:t>.</w:t>
      </w:r>
      <w:r w:rsidR="00BF5C23" w:rsidRPr="00901738">
        <w:rPr>
          <w:lang w:eastAsia="en-AU"/>
        </w:rPr>
        <w:t xml:space="preserve"> </w:t>
      </w:r>
    </w:p>
    <w:p w14:paraId="62422B66" w14:textId="39FACF1F" w:rsidR="00260BB6" w:rsidRDefault="00CB1674" w:rsidP="0090797E">
      <w:pPr>
        <w:pStyle w:val="Heading3"/>
      </w:pPr>
      <w:bookmarkStart w:id="66" w:name="_Toc17050679"/>
      <w:bookmarkStart w:id="67" w:name="_Toc17155094"/>
      <w:r>
        <w:t>Interstate experience</w:t>
      </w:r>
      <w:bookmarkEnd w:id="66"/>
      <w:bookmarkEnd w:id="67"/>
    </w:p>
    <w:p w14:paraId="13BAC547" w14:textId="77777777" w:rsidR="001725DA" w:rsidRDefault="00F6132B" w:rsidP="00F6132B">
      <w:pPr>
        <w:pStyle w:val="VLADocumentText"/>
      </w:pPr>
      <w:r w:rsidRPr="002113E6">
        <w:t>Tasmania</w:t>
      </w:r>
      <w:r>
        <w:t xml:space="preserve"> and </w:t>
      </w:r>
      <w:r w:rsidRPr="002113E6">
        <w:t>Western Australia</w:t>
      </w:r>
      <w:r>
        <w:t xml:space="preserve"> have moved pre-trial proceedings to the higher courts. Australia’s other states and territories have retained some lower court proceedings but limited options for cross-examining prosecution witnesses. </w:t>
      </w:r>
    </w:p>
    <w:p w14:paraId="515E176C" w14:textId="09C65072" w:rsidR="001725DA" w:rsidRDefault="00F6132B" w:rsidP="001725DA">
      <w:pPr>
        <w:pStyle w:val="VLADocumentText"/>
        <w:rPr>
          <w:lang w:eastAsia="en-AU"/>
        </w:rPr>
      </w:pPr>
      <w:r>
        <w:t>In</w:t>
      </w:r>
      <w:r w:rsidDel="002E3A56">
        <w:t xml:space="preserve"> the </w:t>
      </w:r>
      <w:r>
        <w:t>absence</w:t>
      </w:r>
      <w:r w:rsidDel="002E3A56">
        <w:t xml:space="preserve"> of </w:t>
      </w:r>
      <w:r>
        <w:t>any formal evaluation of these re</w:t>
      </w:r>
      <w:r w:rsidRPr="001725DA">
        <w:t xml:space="preserve">forms, we have consulted extensively with </w:t>
      </w:r>
      <w:r w:rsidR="004731AA">
        <w:t>l</w:t>
      </w:r>
      <w:r w:rsidRPr="001725DA" w:rsidDel="002E3A56">
        <w:t xml:space="preserve">egal </w:t>
      </w:r>
      <w:r w:rsidR="004731AA">
        <w:t>a</w:t>
      </w:r>
      <w:r w:rsidRPr="001725DA" w:rsidDel="002E3A56">
        <w:t xml:space="preserve">id </w:t>
      </w:r>
      <w:r w:rsidRPr="001725DA">
        <w:t xml:space="preserve">commissions in other states and territories. </w:t>
      </w:r>
      <w:r w:rsidR="001725DA">
        <w:t xml:space="preserve">Feedback from </w:t>
      </w:r>
      <w:r w:rsidR="001725DA">
        <w:rPr>
          <w:lang w:eastAsia="en-AU"/>
        </w:rPr>
        <w:t xml:space="preserve">practitioners </w:t>
      </w:r>
      <w:r w:rsidR="001725DA" w:rsidRPr="00E44D59">
        <w:rPr>
          <w:lang w:eastAsia="en-AU"/>
        </w:rPr>
        <w:t>with extensive experience in the indictable system in other Australian jurisdictions</w:t>
      </w:r>
      <w:r w:rsidR="001725DA">
        <w:rPr>
          <w:lang w:eastAsia="en-AU"/>
        </w:rPr>
        <w:t>, gives practical insights into the impacts of various reforms across Australia</w:t>
      </w:r>
      <w:r w:rsidR="001725DA" w:rsidRPr="00E44D59">
        <w:rPr>
          <w:lang w:eastAsia="en-AU"/>
        </w:rPr>
        <w:t xml:space="preserve">. </w:t>
      </w:r>
    </w:p>
    <w:p w14:paraId="4E7738DB" w14:textId="6AF998E7" w:rsidR="00260BB6" w:rsidRDefault="001725DA" w:rsidP="00472916">
      <w:pPr>
        <w:pStyle w:val="VLADocumentText"/>
        <w:rPr>
          <w:lang w:eastAsia="en-AU"/>
        </w:rPr>
      </w:pPr>
      <w:r w:rsidRPr="001725DA">
        <w:t>T</w:t>
      </w:r>
      <w:r w:rsidR="00F6132B" w:rsidRPr="001725DA">
        <w:t xml:space="preserve">he </w:t>
      </w:r>
      <w:r>
        <w:t xml:space="preserve">anecdotal </w:t>
      </w:r>
      <w:r w:rsidRPr="00E44D59">
        <w:t xml:space="preserve">experience </w:t>
      </w:r>
      <w:r>
        <w:t xml:space="preserve">of </w:t>
      </w:r>
      <w:r w:rsidR="00F6132B" w:rsidRPr="001725DA">
        <w:t xml:space="preserve">our interstate counterparts is </w:t>
      </w:r>
      <w:r w:rsidR="00472916">
        <w:t xml:space="preserve">the </w:t>
      </w:r>
      <w:r w:rsidR="00F6132B" w:rsidRPr="001725DA">
        <w:t>that significant committal reforms in those jurisdictions</w:t>
      </w:r>
      <w:r w:rsidR="00472916">
        <w:t xml:space="preserve"> </w:t>
      </w:r>
      <w:r w:rsidR="00260BB6" w:rsidRPr="00E44D59">
        <w:rPr>
          <w:lang w:eastAsia="en-AU"/>
        </w:rPr>
        <w:t>ha</w:t>
      </w:r>
      <w:r w:rsidR="00472916">
        <w:rPr>
          <w:lang w:eastAsia="en-AU"/>
        </w:rPr>
        <w:t>s</w:t>
      </w:r>
      <w:r w:rsidR="00260BB6" w:rsidRPr="00E44D59">
        <w:rPr>
          <w:lang w:eastAsia="en-AU"/>
        </w:rPr>
        <w:t xml:space="preserve"> neither improved disclosure nor reduced delays</w:t>
      </w:r>
      <w:r w:rsidR="00472916">
        <w:rPr>
          <w:lang w:eastAsia="en-AU"/>
        </w:rPr>
        <w:t>,</w:t>
      </w:r>
      <w:r w:rsidR="00260BB6">
        <w:rPr>
          <w:lang w:eastAsia="en-AU"/>
        </w:rPr>
        <w:t xml:space="preserve"> </w:t>
      </w:r>
      <w:r w:rsidR="00260BB6">
        <w:t>stymying any efficiency benefits sought to be gained.</w:t>
      </w:r>
    </w:p>
    <w:p w14:paraId="4ECD1814" w14:textId="046BBFF2" w:rsidR="00260BB6" w:rsidRPr="00535B51" w:rsidRDefault="00260BB6" w:rsidP="00260BB6">
      <w:pPr>
        <w:pStyle w:val="VLADocumentText"/>
        <w:rPr>
          <w:lang w:eastAsia="en-AU"/>
        </w:rPr>
      </w:pPr>
      <w:r w:rsidRPr="005F796D">
        <w:rPr>
          <w:lang w:eastAsia="en-AU"/>
        </w:rPr>
        <w:t xml:space="preserve">The experience of </w:t>
      </w:r>
      <w:r w:rsidRPr="005F796D">
        <w:rPr>
          <w:bCs/>
          <w:lang w:eastAsia="en-AU"/>
        </w:rPr>
        <w:t xml:space="preserve">New South Wales </w:t>
      </w:r>
      <w:r w:rsidRPr="005F796D">
        <w:rPr>
          <w:lang w:eastAsia="en-AU"/>
        </w:rPr>
        <w:t>defence practitioners is that the significant 2018</w:t>
      </w:r>
      <w:r w:rsidRPr="00C92052">
        <w:rPr>
          <w:lang w:eastAsia="en-AU"/>
        </w:rPr>
        <w:t xml:space="preserve"> committal reforms and investment have </w:t>
      </w:r>
      <w:r w:rsidRPr="003D4AF1">
        <w:t>not</w:t>
      </w:r>
      <w:r w:rsidRPr="00C92052">
        <w:rPr>
          <w:lang w:eastAsia="en-AU"/>
        </w:rPr>
        <w:t xml:space="preserve"> </w:t>
      </w:r>
      <w:r w:rsidR="00E2318A">
        <w:rPr>
          <w:lang w:eastAsia="en-AU"/>
        </w:rPr>
        <w:t xml:space="preserve">yet </w:t>
      </w:r>
      <w:r w:rsidRPr="00C92052">
        <w:rPr>
          <w:lang w:eastAsia="en-AU"/>
        </w:rPr>
        <w:t>translated into meaningful improvements in the levels of disclosure</w:t>
      </w:r>
      <w:r w:rsidR="00052338">
        <w:rPr>
          <w:lang w:eastAsia="en-AU"/>
        </w:rPr>
        <w:t xml:space="preserve"> (although other elements of the process have improved)</w:t>
      </w:r>
      <w:r w:rsidRPr="00C92052">
        <w:rPr>
          <w:lang w:eastAsia="en-AU"/>
        </w:rPr>
        <w:t xml:space="preserve">. </w:t>
      </w:r>
      <w:r w:rsidR="00FE7103">
        <w:rPr>
          <w:lang w:eastAsia="en-AU"/>
        </w:rPr>
        <w:t>Despite t</w:t>
      </w:r>
      <w:r w:rsidRPr="00C92052">
        <w:rPr>
          <w:lang w:eastAsia="en-AU"/>
        </w:rPr>
        <w:t>he early allocation of senior crown prosecutors to review the brief and engage in negotiations</w:t>
      </w:r>
      <w:r w:rsidR="00FE7103">
        <w:rPr>
          <w:lang w:eastAsia="en-AU"/>
        </w:rPr>
        <w:t>, defence</w:t>
      </w:r>
      <w:r w:rsidRPr="00C92052">
        <w:rPr>
          <w:lang w:eastAsia="en-AU"/>
        </w:rPr>
        <w:t xml:space="preserve"> practitioners continue to </w:t>
      </w:r>
      <w:r w:rsidRPr="00535B51">
        <w:rPr>
          <w:lang w:eastAsia="en-AU"/>
        </w:rPr>
        <w:t>experience delays with timely disclosure. Where the matter proceed</w:t>
      </w:r>
      <w:r w:rsidR="0069714E">
        <w:rPr>
          <w:lang w:eastAsia="en-AU"/>
        </w:rPr>
        <w:t>s</w:t>
      </w:r>
      <w:r w:rsidRPr="00535B51">
        <w:rPr>
          <w:lang w:eastAsia="en-AU"/>
        </w:rPr>
        <w:t xml:space="preserve"> to trial, the OPP Charge Certificate is not </w:t>
      </w:r>
      <w:r w:rsidR="0069714E">
        <w:rPr>
          <w:lang w:eastAsia="en-AU"/>
        </w:rPr>
        <w:t xml:space="preserve">always </w:t>
      </w:r>
      <w:r w:rsidRPr="00535B51">
        <w:rPr>
          <w:lang w:eastAsia="en-AU"/>
        </w:rPr>
        <w:t xml:space="preserve">meaningfully holding the prosecution to account, and it is commonly found that important brief items are missing. </w:t>
      </w:r>
    </w:p>
    <w:p w14:paraId="2D218E09" w14:textId="0E6A83ED" w:rsidR="00260BB6" w:rsidRDefault="00260BB6" w:rsidP="00260BB6">
      <w:pPr>
        <w:pStyle w:val="VLADocumentText"/>
        <w:rPr>
          <w:rFonts w:cs="Arial"/>
          <w:lang w:eastAsia="en-AU"/>
        </w:rPr>
      </w:pPr>
      <w:r>
        <w:t xml:space="preserve">The experience of </w:t>
      </w:r>
      <w:r w:rsidR="00702446">
        <w:t xml:space="preserve">one </w:t>
      </w:r>
      <w:r>
        <w:t xml:space="preserve">former managing lawyer </w:t>
      </w:r>
      <w:r w:rsidR="00702446">
        <w:t xml:space="preserve">an office of </w:t>
      </w:r>
      <w:r>
        <w:t>N</w:t>
      </w:r>
      <w:r w:rsidR="005A003F">
        <w:t xml:space="preserve">orthern </w:t>
      </w:r>
      <w:r>
        <w:t>T</w:t>
      </w:r>
      <w:r w:rsidR="005A003F">
        <w:t>erritory</w:t>
      </w:r>
      <w:r>
        <w:t xml:space="preserve"> Legal Aid Commission </w:t>
      </w:r>
      <w:r w:rsidRPr="00E44D59">
        <w:rPr>
          <w:rFonts w:cs="Arial"/>
          <w:lang w:eastAsia="en-AU"/>
        </w:rPr>
        <w:t xml:space="preserve">is that </w:t>
      </w:r>
      <w:r w:rsidRPr="008028E7">
        <w:t xml:space="preserve">the rate of trials </w:t>
      </w:r>
      <w:r w:rsidR="00055832">
        <w:t xml:space="preserve">needing to be adjourned, or being unable to proceed </w:t>
      </w:r>
      <w:r w:rsidRPr="008028E7">
        <w:t xml:space="preserve">at the last minute </w:t>
      </w:r>
      <w:r>
        <w:t xml:space="preserve">appears to be </w:t>
      </w:r>
      <w:r w:rsidRPr="008028E7">
        <w:t>higher than ever</w:t>
      </w:r>
      <w:r w:rsidRPr="00E44D59">
        <w:rPr>
          <w:rFonts w:cs="Arial"/>
          <w:lang w:eastAsia="en-AU"/>
        </w:rPr>
        <w:t>.</w:t>
      </w:r>
      <w:r>
        <w:rPr>
          <w:rFonts w:cs="Arial"/>
          <w:lang w:eastAsia="en-AU"/>
        </w:rPr>
        <w:t xml:space="preserve"> </w:t>
      </w:r>
      <w:r w:rsidRPr="00E44D59">
        <w:rPr>
          <w:rFonts w:cs="Arial"/>
          <w:lang w:eastAsia="en-AU"/>
        </w:rPr>
        <w:t>The</w:t>
      </w:r>
      <w:r w:rsidR="007F2760">
        <w:rPr>
          <w:rFonts w:cs="Arial"/>
          <w:lang w:eastAsia="en-AU"/>
        </w:rPr>
        <w:t xml:space="preserve"> </w:t>
      </w:r>
      <w:r w:rsidR="00F54C0C">
        <w:rPr>
          <w:rFonts w:cs="Arial"/>
          <w:lang w:eastAsia="en-AU"/>
        </w:rPr>
        <w:t xml:space="preserve">lawyer </w:t>
      </w:r>
      <w:r w:rsidRPr="00E44D59">
        <w:rPr>
          <w:rFonts w:cs="Arial"/>
          <w:lang w:eastAsia="en-AU"/>
        </w:rPr>
        <w:t>offer</w:t>
      </w:r>
      <w:r w:rsidR="00F54C0C">
        <w:rPr>
          <w:rFonts w:cs="Arial"/>
          <w:lang w:eastAsia="en-AU"/>
        </w:rPr>
        <w:t>ed</w:t>
      </w:r>
      <w:r w:rsidRPr="00E44D59">
        <w:rPr>
          <w:rFonts w:cs="Arial"/>
          <w:lang w:eastAsia="en-AU"/>
        </w:rPr>
        <w:t xml:space="preserve"> the following insight from his practice: </w:t>
      </w:r>
    </w:p>
    <w:p w14:paraId="7B52AFC8" w14:textId="0B0C0793" w:rsidR="00260BB6" w:rsidRPr="003B4389" w:rsidRDefault="00260BB6" w:rsidP="004D2F69">
      <w:pPr>
        <w:pStyle w:val="VLAquotation"/>
        <w:rPr>
          <w:rFonts w:cstheme="minorBidi"/>
          <w:lang w:eastAsia="en-AU"/>
        </w:rPr>
      </w:pPr>
      <w:r w:rsidRPr="00E44D59">
        <w:rPr>
          <w:lang w:eastAsia="en-AU"/>
        </w:rPr>
        <w:t>The committals reforms were introduced with the reassurance that prejudice would not flow to defendants as a result of the lack of opportunities to cross-examine witnesses. These reassurances have not translated into practice. The current practice is that police do not make full disclosure to the crown, police continue to gather evidence after the accused has been indicted, this late discovery of evidence is then disclosed to the crown and in term the defence, busy crown prosecutor</w:t>
      </w:r>
      <w:r>
        <w:rPr>
          <w:lang w:eastAsia="en-AU"/>
        </w:rPr>
        <w:t>s</w:t>
      </w:r>
      <w:r w:rsidRPr="00E44D59">
        <w:rPr>
          <w:lang w:eastAsia="en-AU"/>
        </w:rPr>
        <w:t xml:space="preserve"> do not proof complainant or key witnesses until the eve of the trial and arising from that is further disclosure. This culminates in significant disclosures or changes to the crown case being made on the morning of the trial. </w:t>
      </w:r>
      <w:r w:rsidRPr="00E44D59">
        <w:t>The remedies available for inadequate crown disclosure are in turn often ineffective</w:t>
      </w:r>
      <w:r>
        <w:t xml:space="preserve">. </w:t>
      </w:r>
      <w:r w:rsidRPr="00E44D59">
        <w:t>A trial judge may adjourn the trial, but in a serious case that will not necessarily mean the accused will get bail. In theory, there is an effective remedy, namely for the court to refuse to allow the belated crown evidence to be adduced, but often that remedy is simply inapplicable and rarely granted.</w:t>
      </w:r>
      <w:r w:rsidR="006142B4">
        <w:rPr>
          <w:rStyle w:val="FootnoteReference"/>
        </w:rPr>
        <w:footnoteReference w:id="34"/>
      </w:r>
      <w:r w:rsidRPr="00E44D59">
        <w:t xml:space="preserve"> </w:t>
      </w:r>
    </w:p>
    <w:p w14:paraId="2E2E748F" w14:textId="3305218D" w:rsidR="00260BB6" w:rsidRDefault="00260BB6" w:rsidP="00260BB6">
      <w:pPr>
        <w:pStyle w:val="VLADocumentText"/>
        <w:rPr>
          <w:lang w:eastAsia="en-AU"/>
        </w:rPr>
      </w:pPr>
      <w:r>
        <w:t xml:space="preserve">Similarly, the Director of the </w:t>
      </w:r>
      <w:r w:rsidRPr="00031690">
        <w:rPr>
          <w:lang w:eastAsia="en-AU"/>
        </w:rPr>
        <w:t xml:space="preserve">Aboriginal Legal Services </w:t>
      </w:r>
      <w:r>
        <w:t xml:space="preserve">in </w:t>
      </w:r>
      <w:r w:rsidRPr="00B22043">
        <w:t>W</w:t>
      </w:r>
      <w:r w:rsidR="2BEA1C01" w:rsidRPr="00B22043">
        <w:t>es</w:t>
      </w:r>
      <w:r w:rsidR="7524ECA8" w:rsidRPr="00B22043">
        <w:t>tern Australia</w:t>
      </w:r>
      <w:r>
        <w:t xml:space="preserve"> noted that t</w:t>
      </w:r>
      <w:r w:rsidRPr="00B22043">
        <w:t>he</w:t>
      </w:r>
      <w:r w:rsidRPr="00031690">
        <w:rPr>
          <w:lang w:eastAsia="en-AU"/>
        </w:rPr>
        <w:t xml:space="preserve"> justification for committals being abolished </w:t>
      </w:r>
      <w:r>
        <w:rPr>
          <w:lang w:eastAsia="en-AU"/>
        </w:rPr>
        <w:t xml:space="preserve">was to bring about </w:t>
      </w:r>
      <w:r w:rsidRPr="00031690">
        <w:rPr>
          <w:lang w:eastAsia="en-AU"/>
        </w:rPr>
        <w:t xml:space="preserve">better disclosure, better charging </w:t>
      </w:r>
      <w:r>
        <w:rPr>
          <w:lang w:eastAsia="en-AU"/>
        </w:rPr>
        <w:t xml:space="preserve">practices </w:t>
      </w:r>
      <w:r w:rsidRPr="00031690">
        <w:rPr>
          <w:lang w:eastAsia="en-AU"/>
        </w:rPr>
        <w:t xml:space="preserve">and </w:t>
      </w:r>
      <w:r>
        <w:rPr>
          <w:lang w:eastAsia="en-AU"/>
        </w:rPr>
        <w:t xml:space="preserve">improved </w:t>
      </w:r>
      <w:r w:rsidRPr="00031690">
        <w:rPr>
          <w:lang w:eastAsia="en-AU"/>
        </w:rPr>
        <w:t xml:space="preserve">plea negotiations. </w:t>
      </w:r>
      <w:r w:rsidRPr="00B22043">
        <w:t>Th</w:t>
      </w:r>
      <w:r w:rsidR="008A3AE2">
        <w:t>e</w:t>
      </w:r>
      <w:r w:rsidRPr="00B22043">
        <w:t xml:space="preserve"> </w:t>
      </w:r>
      <w:r w:rsidR="008A3AE2">
        <w:t xml:space="preserve">reforms </w:t>
      </w:r>
      <w:r>
        <w:t>ha</w:t>
      </w:r>
      <w:r w:rsidR="008A3AE2">
        <w:t>ve</w:t>
      </w:r>
      <w:r>
        <w:t xml:space="preserve"> </w:t>
      </w:r>
      <w:r w:rsidRPr="00B22043">
        <w:t xml:space="preserve">not </w:t>
      </w:r>
      <w:r w:rsidR="008A3AE2">
        <w:t xml:space="preserve">achieved these aims </w:t>
      </w:r>
      <w:r>
        <w:t xml:space="preserve">and </w:t>
      </w:r>
      <w:r w:rsidR="004E05B3">
        <w:t xml:space="preserve">in </w:t>
      </w:r>
      <w:r w:rsidR="004E05B3">
        <w:lastRenderedPageBreak/>
        <w:t xml:space="preserve">their experience </w:t>
      </w:r>
      <w:r>
        <w:t>d</w:t>
      </w:r>
      <w:r w:rsidRPr="00B22043">
        <w:t>isclosure still remains inadequate</w:t>
      </w:r>
      <w:r>
        <w:t>. Because there is n</w:t>
      </w:r>
      <w:r w:rsidRPr="00B22043">
        <w:t xml:space="preserve">o </w:t>
      </w:r>
      <w:r w:rsidRPr="00031690">
        <w:rPr>
          <w:lang w:eastAsia="en-AU"/>
        </w:rPr>
        <w:t xml:space="preserve">capacity of </w:t>
      </w:r>
      <w:r>
        <w:t xml:space="preserve">the </w:t>
      </w:r>
      <w:r w:rsidRPr="00031690">
        <w:rPr>
          <w:lang w:eastAsia="en-AU"/>
        </w:rPr>
        <w:t xml:space="preserve">court to test </w:t>
      </w:r>
      <w:r>
        <w:rPr>
          <w:lang w:eastAsia="en-AU"/>
        </w:rPr>
        <w:t xml:space="preserve">the prosecution case and </w:t>
      </w:r>
      <w:r w:rsidRPr="00031690">
        <w:rPr>
          <w:lang w:eastAsia="en-AU"/>
        </w:rPr>
        <w:t xml:space="preserve">filter </w:t>
      </w:r>
      <w:r>
        <w:rPr>
          <w:lang w:eastAsia="en-AU"/>
        </w:rPr>
        <w:t xml:space="preserve">weak or inappropriate </w:t>
      </w:r>
      <w:r>
        <w:t>matters, all matters are</w:t>
      </w:r>
      <w:r w:rsidRPr="00031690">
        <w:rPr>
          <w:lang w:eastAsia="en-AU"/>
        </w:rPr>
        <w:t xml:space="preserve"> committed to District or Supreme Court.</w:t>
      </w:r>
      <w:r>
        <w:rPr>
          <w:lang w:eastAsia="en-AU"/>
        </w:rPr>
        <w:t xml:space="preserve"> In their experience</w:t>
      </w:r>
      <w:r w:rsidR="003F1720">
        <w:rPr>
          <w:lang w:eastAsia="en-AU"/>
        </w:rPr>
        <w:t>,</w:t>
      </w:r>
      <w:r>
        <w:rPr>
          <w:lang w:eastAsia="en-AU"/>
        </w:rPr>
        <w:t xml:space="preserve"> there are now bottlenecks in the higher courts as a result. </w:t>
      </w:r>
    </w:p>
    <w:p w14:paraId="473A50D0" w14:textId="0CE75A7C" w:rsidR="00260BB6" w:rsidRDefault="00F6132B" w:rsidP="00260BB6">
      <w:pPr>
        <w:pStyle w:val="VLADocumentText"/>
        <w:rPr>
          <w:rFonts w:cs="Arial"/>
          <w:lang w:eastAsia="en-AU"/>
        </w:rPr>
      </w:pPr>
      <w:r>
        <w:t>T</w:t>
      </w:r>
      <w:r w:rsidRPr="009E3FFF">
        <w:t xml:space="preserve">he </w:t>
      </w:r>
      <w:r w:rsidRPr="00C85DC0">
        <w:rPr>
          <w:bCs/>
        </w:rPr>
        <w:t>Queensland</w:t>
      </w:r>
      <w:r w:rsidRPr="009E3FFF">
        <w:t xml:space="preserve"> reforms were focused on securing proper and timely disclosure</w:t>
      </w:r>
      <w:r w:rsidR="004E05B3">
        <w:t>,</w:t>
      </w:r>
      <w:r w:rsidRPr="009E3FFF">
        <w:t xml:space="preserve"> </w:t>
      </w:r>
      <w:r w:rsidR="004E05B3">
        <w:t>yet</w:t>
      </w:r>
      <w:r w:rsidRPr="009E3FFF">
        <w:t xml:space="preserve"> </w:t>
      </w:r>
      <w:r>
        <w:t>t</w:t>
      </w:r>
      <w:r>
        <w:rPr>
          <w:rFonts w:cs="Arial"/>
          <w:lang w:eastAsia="en-AU"/>
        </w:rPr>
        <w:t>he experience of our Queensland colleagues is that disclosure is still a significant problem.</w:t>
      </w:r>
      <w:r w:rsidR="00B5654F">
        <w:t xml:space="preserve"> </w:t>
      </w:r>
      <w:r w:rsidR="001E0052" w:rsidRPr="00C92052">
        <w:rPr>
          <w:rFonts w:cs="Arial"/>
          <w:lang w:eastAsia="en-AU"/>
        </w:rPr>
        <w:t>A senior colleague and Assistant Director from Legal</w:t>
      </w:r>
      <w:r w:rsidR="001E0052">
        <w:rPr>
          <w:rFonts w:cs="Arial"/>
          <w:lang w:eastAsia="en-AU"/>
        </w:rPr>
        <w:t xml:space="preserve"> </w:t>
      </w:r>
      <w:r w:rsidR="001E0052" w:rsidRPr="00C92052">
        <w:rPr>
          <w:rFonts w:cs="Arial"/>
          <w:lang w:eastAsia="en-AU"/>
        </w:rPr>
        <w:t xml:space="preserve">Aid Queensland </w:t>
      </w:r>
      <w:r w:rsidRPr="009E3FFF">
        <w:t>report</w:t>
      </w:r>
      <w:r w:rsidR="001E0052">
        <w:t>s that</w:t>
      </w:r>
      <w:r w:rsidRPr="009E3FFF">
        <w:t xml:space="preserve"> disclosure is typically poor, and many trials commence without the accused knowing the full case against them. </w:t>
      </w:r>
      <w:r w:rsidR="00260BB6" w:rsidRPr="00C92052">
        <w:rPr>
          <w:rFonts w:cs="Arial"/>
          <w:lang w:eastAsia="en-AU"/>
        </w:rPr>
        <w:t xml:space="preserve">It is unclear if the lack of compliance with disclosure arises from inadequate resources to comply with the orders or other systemic issues. </w:t>
      </w:r>
    </w:p>
    <w:p w14:paraId="233B249D" w14:textId="6328CD9A" w:rsidR="00260BB6" w:rsidRPr="00E44D59" w:rsidRDefault="00260BB6" w:rsidP="00817ABC">
      <w:pPr>
        <w:pStyle w:val="Heading1"/>
      </w:pPr>
      <w:bookmarkStart w:id="68" w:name="_Toc17050680"/>
      <w:bookmarkStart w:id="69" w:name="_Toc17155095"/>
      <w:r w:rsidRPr="00E44D59">
        <w:t>Question 6. Could appropriate and timely disclosure occur within a pre-trial procedure that does not include committal proceedings?</w:t>
      </w:r>
      <w:bookmarkEnd w:id="68"/>
      <w:bookmarkEnd w:id="69"/>
    </w:p>
    <w:p w14:paraId="16336BA5" w14:textId="2286EF6F" w:rsidR="00D86DB7" w:rsidRDefault="00260BB6" w:rsidP="00260BB6">
      <w:pPr>
        <w:pStyle w:val="VLADocumentText"/>
        <w:jc w:val="both"/>
      </w:pPr>
      <w:r w:rsidRPr="001F09BB">
        <w:t xml:space="preserve">In light of the current and long-standing barriers to timely disclosure, which many jurisdictions have not succeeded in improving, it is difficult to envisage a process in which disclosure could be improved without a </w:t>
      </w:r>
      <w:r w:rsidR="00676600">
        <w:t xml:space="preserve">closely case-managed </w:t>
      </w:r>
      <w:r w:rsidRPr="001F09BB">
        <w:t xml:space="preserve">committal stage </w:t>
      </w:r>
      <w:r w:rsidR="003C1D09">
        <w:t xml:space="preserve">that </w:t>
      </w:r>
      <w:r w:rsidR="00676600">
        <w:t xml:space="preserve">holds </w:t>
      </w:r>
      <w:r w:rsidRPr="001F09BB">
        <w:t xml:space="preserve">all parties </w:t>
      </w:r>
      <w:r w:rsidR="00676600">
        <w:t>to account</w:t>
      </w:r>
      <w:r w:rsidRPr="001F09BB">
        <w:t xml:space="preserve">. </w:t>
      </w:r>
    </w:p>
    <w:p w14:paraId="4475B7C6" w14:textId="52DC7235" w:rsidR="00260BB6" w:rsidRPr="001F09BB" w:rsidRDefault="00D86DB7" w:rsidP="00260BB6">
      <w:pPr>
        <w:pStyle w:val="VLADocumentText"/>
        <w:jc w:val="both"/>
      </w:pPr>
      <w:r>
        <w:t xml:space="preserve">As discussed above in </w:t>
      </w:r>
      <w:r w:rsidR="0085392E" w:rsidRPr="0085392E">
        <w:rPr>
          <w:b/>
        </w:rPr>
        <w:t xml:space="preserve">Question </w:t>
      </w:r>
      <w:r w:rsidRPr="0085392E">
        <w:rPr>
          <w:b/>
        </w:rPr>
        <w:t>5</w:t>
      </w:r>
      <w:r>
        <w:t xml:space="preserve">, the experience of interstate legal aid </w:t>
      </w:r>
      <w:r w:rsidR="003C1D09">
        <w:t xml:space="preserve">practitioners </w:t>
      </w:r>
      <w:r>
        <w:t>is that disclosure has not improved</w:t>
      </w:r>
      <w:r w:rsidR="00F86F23">
        <w:t xml:space="preserve"> despite significant reform </w:t>
      </w:r>
      <w:r w:rsidR="001E54A3">
        <w:t>squarely aimed at doing so</w:t>
      </w:r>
      <w:r w:rsidR="00F86F23">
        <w:t xml:space="preserve">. </w:t>
      </w:r>
      <w:r w:rsidR="001E54A3">
        <w:t xml:space="preserve">We could not find a formal evaluation and recommend that </w:t>
      </w:r>
      <w:r w:rsidR="007A2910">
        <w:t xml:space="preserve">the VLRC should seek </w:t>
      </w:r>
      <w:r w:rsidR="004A3D2E" w:rsidRPr="001F09BB">
        <w:t>inter</w:t>
      </w:r>
      <w:r w:rsidR="00D70650" w:rsidRPr="001F09BB">
        <w:t>s</w:t>
      </w:r>
      <w:r w:rsidR="004A3D2E" w:rsidRPr="001F09BB">
        <w:t xml:space="preserve">tate data </w:t>
      </w:r>
      <w:r w:rsidR="003A6B69" w:rsidRPr="001F09BB">
        <w:t xml:space="preserve">about the impacts of these changes on resolution rates and time to finalisation. </w:t>
      </w:r>
    </w:p>
    <w:p w14:paraId="56578416" w14:textId="77777777" w:rsidR="008D1B06" w:rsidRPr="00165F8D" w:rsidRDefault="008D1B06" w:rsidP="008D1B06">
      <w:pPr>
        <w:pStyle w:val="VLADocumentText"/>
      </w:pPr>
      <w:r w:rsidRPr="00165F8D">
        <w:t>If committals were abolished or severely restricted, under most reform models the case-management hearings and proceedings, which are a necessary aspect of pre-trial disclosure, will be moved to the trial court. This has occurred for sexual offence matters where the complainant is a child or cognitively impaired. In addition, t</w:t>
      </w:r>
      <w:r w:rsidRPr="00165F8D">
        <w:rPr>
          <w:lang w:eastAsia="en-AU"/>
        </w:rPr>
        <w:t xml:space="preserve">he Supreme and County Courts have the capacity to order pre-trial examination of witnesses under section 198 of the </w:t>
      </w:r>
      <w:r w:rsidRPr="00165F8D">
        <w:rPr>
          <w:iCs/>
          <w:lang w:eastAsia="en-AU"/>
        </w:rPr>
        <w:t>Criminal Procedure Act</w:t>
      </w:r>
      <w:r w:rsidRPr="00165F8D">
        <w:rPr>
          <w:lang w:eastAsia="en-AU"/>
        </w:rPr>
        <w:t xml:space="preserve"> (order for taking evidence from a witness before trial), or </w:t>
      </w:r>
      <w:r w:rsidRPr="00165F8D">
        <w:t xml:space="preserve">section 198B </w:t>
      </w:r>
      <w:r w:rsidRPr="00165F8D">
        <w:rPr>
          <w:lang w:eastAsia="en-AU"/>
        </w:rPr>
        <w:t>hearing processes.</w:t>
      </w:r>
      <w:r w:rsidRPr="00165F8D">
        <w:rPr>
          <w:rStyle w:val="FootnoteReference"/>
          <w:lang w:eastAsia="en-AU"/>
        </w:rPr>
        <w:footnoteReference w:id="35"/>
      </w:r>
      <w:r w:rsidRPr="00165F8D">
        <w:rPr>
          <w:lang w:eastAsia="en-AU"/>
        </w:rPr>
        <w:t xml:space="preserve"> </w:t>
      </w:r>
    </w:p>
    <w:p w14:paraId="1A04A4ED" w14:textId="115C77C4" w:rsidR="00260BB6" w:rsidRPr="000376FD" w:rsidRDefault="001E0052" w:rsidP="00DC1342">
      <w:pPr>
        <w:pStyle w:val="VLADocumentText"/>
        <w:rPr>
          <w:b/>
        </w:rPr>
      </w:pPr>
      <w:r w:rsidRPr="001F09BB">
        <w:t>In our view,</w:t>
      </w:r>
      <w:r>
        <w:t xml:space="preserve"> </w:t>
      </w:r>
      <w:r w:rsidR="00C027A1">
        <w:t>there are significant barriers</w:t>
      </w:r>
      <w:r w:rsidR="00B5654F">
        <w:t xml:space="preserve"> </w:t>
      </w:r>
      <w:r w:rsidR="008505E9">
        <w:t xml:space="preserve">to </w:t>
      </w:r>
      <w:r w:rsidR="000376FD" w:rsidRPr="001F09BB">
        <w:t>vesting pre-trial management in the higher courts</w:t>
      </w:r>
      <w:r w:rsidR="000376FD">
        <w:t xml:space="preserve"> </w:t>
      </w:r>
      <w:r w:rsidR="008505E9">
        <w:t xml:space="preserve">which may </w:t>
      </w:r>
      <w:r w:rsidR="00D60413">
        <w:t xml:space="preserve">negatively impact on </w:t>
      </w:r>
      <w:r>
        <w:t>appropriate and timely disclosure</w:t>
      </w:r>
      <w:r w:rsidR="00D70650">
        <w:t>,</w:t>
      </w:r>
      <w:r>
        <w:t xml:space="preserve"> </w:t>
      </w:r>
      <w:r w:rsidR="00447B61">
        <w:t xml:space="preserve">including </w:t>
      </w:r>
      <w:r w:rsidR="000376FD">
        <w:t>the significant investment required to move the case management hearings currently held in the Magistrates’ Court to the higher courts, particularly in the regional courts.</w:t>
      </w:r>
      <w:r w:rsidR="00447B61">
        <w:t xml:space="preserve"> </w:t>
      </w:r>
      <w:r w:rsidR="000376FD" w:rsidRPr="000376FD">
        <w:t>Th</w:t>
      </w:r>
      <w:r w:rsidR="00447B61">
        <w:t>is</w:t>
      </w:r>
      <w:r w:rsidR="000376FD" w:rsidRPr="000376FD">
        <w:t xml:space="preserve"> </w:t>
      </w:r>
      <w:r w:rsidR="00447B61">
        <w:t xml:space="preserve">is </w:t>
      </w:r>
      <w:r w:rsidR="000376FD" w:rsidRPr="000376FD">
        <w:t xml:space="preserve">discussed below in </w:t>
      </w:r>
      <w:r w:rsidR="0085392E" w:rsidRPr="0085392E">
        <w:rPr>
          <w:b/>
        </w:rPr>
        <w:t>Questio</w:t>
      </w:r>
      <w:r w:rsidR="0085392E">
        <w:rPr>
          <w:b/>
        </w:rPr>
        <w:t>n</w:t>
      </w:r>
      <w:r w:rsidR="000376FD" w:rsidRPr="00114D53">
        <w:rPr>
          <w:b/>
        </w:rPr>
        <w:t xml:space="preserve"> 21</w:t>
      </w:r>
      <w:r w:rsidR="000376FD" w:rsidRPr="000376FD">
        <w:t>.</w:t>
      </w:r>
    </w:p>
    <w:p w14:paraId="52F13CED" w14:textId="72539038" w:rsidR="00633B81" w:rsidRDefault="00633B81" w:rsidP="00E2095E">
      <w:pPr>
        <w:pStyle w:val="Heading1"/>
      </w:pPr>
      <w:bookmarkStart w:id="70" w:name="_Toc17050683"/>
      <w:bookmarkStart w:id="71" w:name="_Toc17155096"/>
      <w:r w:rsidRPr="00E44D59">
        <w:t>Question 7. To what extent, if at all, is the ability to cross-examine witnesses during a committal hearing necessary to ensuring adequate and timely disclosure of the prosecution case?</w:t>
      </w:r>
      <w:bookmarkEnd w:id="70"/>
      <w:bookmarkEnd w:id="71"/>
      <w:r w:rsidRPr="00E44D59">
        <w:t xml:space="preserve"> </w:t>
      </w:r>
    </w:p>
    <w:p w14:paraId="0BBB2C90" w14:textId="1143C910" w:rsidR="00633B81" w:rsidRDefault="00633B81" w:rsidP="00633B81">
      <w:pPr>
        <w:pStyle w:val="VLADocumentText"/>
      </w:pPr>
      <w:r w:rsidRPr="00BE72A5">
        <w:rPr>
          <w:rFonts w:cstheme="minorBidi"/>
        </w:rPr>
        <w:t xml:space="preserve">It is our </w:t>
      </w:r>
      <w:r w:rsidR="00922965">
        <w:rPr>
          <w:rFonts w:cstheme="minorBidi"/>
        </w:rPr>
        <w:t>experience</w:t>
      </w:r>
      <w:r w:rsidRPr="00BE72A5">
        <w:rPr>
          <w:rFonts w:cstheme="minorBidi"/>
        </w:rPr>
        <w:t xml:space="preserve"> that c</w:t>
      </w:r>
      <w:r w:rsidRPr="00ED2180">
        <w:rPr>
          <w:rFonts w:cstheme="minorBidi"/>
        </w:rPr>
        <w:t xml:space="preserve">ross-examining witnesses at committal is key to proper disclosure of the prosecution case in the current </w:t>
      </w:r>
      <w:r w:rsidRPr="00CE3832">
        <w:rPr>
          <w:rFonts w:cstheme="minorBidi"/>
        </w:rPr>
        <w:t>system</w:t>
      </w:r>
      <w:r w:rsidR="00995F46">
        <w:rPr>
          <w:rFonts w:cstheme="minorBidi"/>
        </w:rPr>
        <w:t>,</w:t>
      </w:r>
      <w:r w:rsidRPr="009E55DE">
        <w:rPr>
          <w:rFonts w:cstheme="minorBidi"/>
        </w:rPr>
        <w:t xml:space="preserve"> and </w:t>
      </w:r>
      <w:r>
        <w:rPr>
          <w:rFonts w:cstheme="minorBidi"/>
        </w:rPr>
        <w:t>is</w:t>
      </w:r>
      <w:r w:rsidRPr="00BE72A5">
        <w:rPr>
          <w:rFonts w:cstheme="minorBidi"/>
        </w:rPr>
        <w:t xml:space="preserve"> highly effective at facilitating early resolution</w:t>
      </w:r>
      <w:r w:rsidRPr="00ED2180">
        <w:rPr>
          <w:rFonts w:cstheme="minorBidi"/>
        </w:rPr>
        <w:t>.</w:t>
      </w:r>
      <w:r w:rsidRPr="00CE3832">
        <w:rPr>
          <w:rFonts w:cstheme="minorBidi"/>
        </w:rPr>
        <w:t xml:space="preserve"> </w:t>
      </w:r>
      <w:r>
        <w:t xml:space="preserve">A significant issue is that statements taken by Victoria Police and included </w:t>
      </w:r>
      <w:r w:rsidR="005D7D2A">
        <w:t xml:space="preserve">in </w:t>
      </w:r>
      <w:r>
        <w:t xml:space="preserve">the </w:t>
      </w:r>
      <w:r w:rsidRPr="003A7118">
        <w:rPr>
          <w:lang w:eastAsia="en-AU"/>
        </w:rPr>
        <w:t>hand-up brief</w:t>
      </w:r>
      <w:r>
        <w:t xml:space="preserve"> often lack crucial detail</w:t>
      </w:r>
      <w:r w:rsidR="000D387D">
        <w:t>. This may be for many reasons, including that statements may be</w:t>
      </w:r>
      <w:r w:rsidR="00D70650">
        <w:t xml:space="preserve"> </w:t>
      </w:r>
      <w:r>
        <w:t>taken in pressure</w:t>
      </w:r>
      <w:r w:rsidR="002C1158">
        <w:t>d</w:t>
      </w:r>
      <w:r>
        <w:t xml:space="preserve"> situation</w:t>
      </w:r>
      <w:r w:rsidR="002C1158">
        <w:t>s</w:t>
      </w:r>
      <w:r>
        <w:t xml:space="preserve"> or with a particular investigation direction in mind. </w:t>
      </w:r>
      <w:r w:rsidR="00B76509">
        <w:t>T</w:t>
      </w:r>
      <w:r>
        <w:t xml:space="preserve">he detail that is </w:t>
      </w:r>
      <w:r>
        <w:lastRenderedPageBreak/>
        <w:t xml:space="preserve">lacking at this stage is </w:t>
      </w:r>
      <w:r w:rsidR="007F3D6D">
        <w:t xml:space="preserve">often </w:t>
      </w:r>
      <w:r>
        <w:t xml:space="preserve">best </w:t>
      </w:r>
      <w:r w:rsidR="007F3D6D">
        <w:t xml:space="preserve">obtained </w:t>
      </w:r>
      <w:r>
        <w:t xml:space="preserve">through </w:t>
      </w:r>
      <w:r w:rsidR="00C6168D">
        <w:t xml:space="preserve">relevant and </w:t>
      </w:r>
      <w:r w:rsidR="00995F46">
        <w:t xml:space="preserve">confined </w:t>
      </w:r>
      <w:r>
        <w:t>cross</w:t>
      </w:r>
      <w:r w:rsidR="00B76509">
        <w:t>-</w:t>
      </w:r>
      <w:r>
        <w:t xml:space="preserve">examination at committal. </w:t>
      </w:r>
      <w:r w:rsidR="00C633D0">
        <w:t xml:space="preserve">Facilitating early resolution averts trials and </w:t>
      </w:r>
      <w:r w:rsidR="00C633D0" w:rsidRPr="00131017">
        <w:t>reduces</w:t>
      </w:r>
      <w:r w:rsidR="00C633D0">
        <w:t xml:space="preserve"> the trauma of a trial for victims and witnesses.</w:t>
      </w:r>
    </w:p>
    <w:p w14:paraId="26A0B4D5" w14:textId="77777777" w:rsidR="00B76509" w:rsidRDefault="00B76509" w:rsidP="008552E7"/>
    <w:tbl>
      <w:tblPr>
        <w:tblStyle w:val="TableGrid"/>
        <w:tblW w:w="0" w:type="auto"/>
        <w:tblInd w:w="279" w:type="dxa"/>
        <w:tblLook w:val="04A0" w:firstRow="1" w:lastRow="0" w:firstColumn="1" w:lastColumn="0" w:noHBand="0" w:noVBand="1"/>
      </w:tblPr>
      <w:tblGrid>
        <w:gridCol w:w="8647"/>
      </w:tblGrid>
      <w:tr w:rsidR="008552E7" w14:paraId="11E327E0" w14:textId="77777777" w:rsidTr="007E628B">
        <w:trPr>
          <w:trHeight w:val="5726"/>
        </w:trPr>
        <w:tc>
          <w:tcPr>
            <w:tcW w:w="8647" w:type="dxa"/>
          </w:tcPr>
          <w:p w14:paraId="527D8488" w14:textId="77777777" w:rsidR="008552E7" w:rsidRPr="003D4AF1" w:rsidRDefault="008552E7" w:rsidP="008552E7">
            <w:pPr>
              <w:pStyle w:val="VLAclientexampletitle"/>
            </w:pPr>
            <w:r w:rsidRPr="003D4AF1">
              <w:t>Liam – Pre-trial cross examination to support early resolution with a plea of guilty</w:t>
            </w:r>
          </w:p>
          <w:p w14:paraId="34522C2D" w14:textId="67C64FEA" w:rsidR="008552E7" w:rsidRPr="00B76509" w:rsidRDefault="008552E7" w:rsidP="008552E7">
            <w:pPr>
              <w:pStyle w:val="VLAclientexample"/>
              <w:rPr>
                <w:rFonts w:cs="Arial"/>
              </w:rPr>
            </w:pPr>
            <w:r w:rsidRPr="00B76509">
              <w:t xml:space="preserve">Liam* was charged with the importation of a commercial quantity of methamphetamine on the basis that he assisted in moving the drugs upon their arrival in Australia. The issue at trial was role, identity and the reliability and credibility of witnesses. The matter proceeded as a two day committal hearing. Cross-examination was </w:t>
            </w:r>
            <w:r w:rsidR="00995F46">
              <w:t>confined</w:t>
            </w:r>
            <w:r w:rsidR="00995F46" w:rsidRPr="00B76509">
              <w:t xml:space="preserve"> </w:t>
            </w:r>
            <w:r w:rsidRPr="00B76509">
              <w:t xml:space="preserve">to identity. </w:t>
            </w:r>
          </w:p>
          <w:p w14:paraId="4F757ADC" w14:textId="2C999C6B" w:rsidR="008552E7" w:rsidRPr="00B76509" w:rsidRDefault="008552E7" w:rsidP="008552E7">
            <w:pPr>
              <w:pStyle w:val="VLAclientexample"/>
            </w:pPr>
            <w:r w:rsidRPr="00B76509">
              <w:t>Making a forensic judgement on the reliability and credibility of a witness cannot be meaningfully achieved through reading their statement. This is because a witness’s statement is obtained at a</w:t>
            </w:r>
            <w:r w:rsidR="00995F46">
              <w:t>n</w:t>
            </w:r>
            <w:r w:rsidRPr="00B76509">
              <w:t xml:space="preserve"> </w:t>
            </w:r>
            <w:r w:rsidR="00995F46">
              <w:t xml:space="preserve">early </w:t>
            </w:r>
            <w:r w:rsidRPr="00B76509">
              <w:t>point in the investigation</w:t>
            </w:r>
            <w:r w:rsidR="00787C99">
              <w:t>,</w:t>
            </w:r>
            <w:r w:rsidRPr="00B76509">
              <w:t xml:space="preserve"> </w:t>
            </w:r>
            <w:r w:rsidR="00787C99">
              <w:t xml:space="preserve">when </w:t>
            </w:r>
            <w:r w:rsidRPr="00B76509">
              <w:t>the police may have formed an opinion about the direction of the investigation</w:t>
            </w:r>
            <w:r>
              <w:t>,</w:t>
            </w:r>
            <w:r w:rsidRPr="00B76509">
              <w:t xml:space="preserve"> </w:t>
            </w:r>
            <w:r w:rsidR="00921589">
              <w:t>which</w:t>
            </w:r>
            <w:r w:rsidRPr="00B76509">
              <w:t xml:space="preserve"> frames the questions put to the witness. Reality testing the entire prosecution case against the client instructions is a part of testing the credibility and reliability of witness evidence.</w:t>
            </w:r>
            <w:r>
              <w:t xml:space="preserve"> </w:t>
            </w:r>
          </w:p>
          <w:p w14:paraId="68F732D2" w14:textId="1C1270F7" w:rsidR="008552E7" w:rsidRPr="00B76509" w:rsidRDefault="008552E7" w:rsidP="008552E7">
            <w:pPr>
              <w:pStyle w:val="VLAclientexample"/>
            </w:pPr>
            <w:r w:rsidRPr="00B76509">
              <w:t>Following the cross-examination</w:t>
            </w:r>
            <w:r w:rsidR="00787C99">
              <w:t>,</w:t>
            </w:r>
            <w:r w:rsidRPr="00B76509">
              <w:t xml:space="preserve"> counsel was able to confidently advise </w:t>
            </w:r>
            <w:r w:rsidR="00787C99">
              <w:t>Liam</w:t>
            </w:r>
            <w:r w:rsidR="00787C99" w:rsidRPr="00B76509">
              <w:t xml:space="preserve"> </w:t>
            </w:r>
            <w:r w:rsidRPr="00B76509">
              <w:t>to enter a plea of guilty to attempt</w:t>
            </w:r>
            <w:r w:rsidR="00787C99">
              <w:t>ing</w:t>
            </w:r>
            <w:r w:rsidRPr="00B76509">
              <w:t xml:space="preserve"> to import a commercial quantity. In the absence of conducting the committal hearing which included confined cross-examination, the matter would have proceeded to a 6</w:t>
            </w:r>
            <w:r>
              <w:t>-</w:t>
            </w:r>
            <w:r w:rsidRPr="00B76509">
              <w:t>8 week trial.</w:t>
            </w:r>
          </w:p>
          <w:p w14:paraId="4B90ED0F" w14:textId="1F3476D5" w:rsidR="008552E7" w:rsidRDefault="008552E7" w:rsidP="008552E7">
            <w:pPr>
              <w:pStyle w:val="VLAclientexample"/>
            </w:pPr>
            <w:r w:rsidRPr="00B76509">
              <w:br/>
              <w:t>*VLA client, not his real name.</w:t>
            </w:r>
          </w:p>
        </w:tc>
      </w:tr>
    </w:tbl>
    <w:p w14:paraId="4CC367BD" w14:textId="77777777" w:rsidR="00FE29CC" w:rsidRDefault="00FE29CC" w:rsidP="008552E7"/>
    <w:p w14:paraId="11A366A6" w14:textId="098A2B33" w:rsidR="00633B81" w:rsidRDefault="00921589" w:rsidP="00633B81">
      <w:pPr>
        <w:pStyle w:val="VLADocumentText"/>
      </w:pPr>
      <w:r>
        <w:t>C</w:t>
      </w:r>
      <w:r w:rsidR="00633B81">
        <w:t xml:space="preserve">ross-examination at the committal stage </w:t>
      </w:r>
      <w:r w:rsidR="007753C0">
        <w:t xml:space="preserve">is the most effective mechanism to </w:t>
      </w:r>
      <w:r w:rsidR="00633B81">
        <w:t xml:space="preserve">assist in </w:t>
      </w:r>
      <w:r w:rsidR="007753C0">
        <w:t xml:space="preserve">putting parties </w:t>
      </w:r>
      <w:r w:rsidR="00633B81">
        <w:t>in a position to properly consider plea offers</w:t>
      </w:r>
      <w:r w:rsidR="007753C0">
        <w:t xml:space="preserve"> or </w:t>
      </w:r>
      <w:r w:rsidR="00633B81">
        <w:t>discontinuances</w:t>
      </w:r>
      <w:r w:rsidR="007753C0">
        <w:t>,</w:t>
      </w:r>
      <w:r w:rsidR="00633B81">
        <w:t xml:space="preserve"> or demonstrat</w:t>
      </w:r>
      <w:r w:rsidR="007753C0">
        <w:t xml:space="preserve">e </w:t>
      </w:r>
      <w:r w:rsidR="00633B81">
        <w:t xml:space="preserve">the strength of a case to </w:t>
      </w:r>
      <w:r w:rsidR="007753C0">
        <w:t xml:space="preserve">the accused and put the accused in a position </w:t>
      </w:r>
      <w:r w:rsidR="00633B81">
        <w:t xml:space="preserve">to weigh up the evidence and prospects of going to trial. </w:t>
      </w:r>
    </w:p>
    <w:p w14:paraId="687B3B84" w14:textId="7D380DCA" w:rsidR="00E01B27" w:rsidRDefault="00E01B27" w:rsidP="00E01B27">
      <w:pPr>
        <w:pStyle w:val="VLADocumentText"/>
        <w:rPr>
          <w:lang w:eastAsia="en-AU"/>
        </w:rPr>
      </w:pPr>
      <w:r w:rsidRPr="00E44D59">
        <w:rPr>
          <w:lang w:eastAsia="en-AU"/>
        </w:rPr>
        <w:t xml:space="preserve">Table 2 </w:t>
      </w:r>
      <w:r>
        <w:rPr>
          <w:lang w:eastAsia="en-AU"/>
        </w:rPr>
        <w:t>in the Issues Paper</w:t>
      </w:r>
      <w:r w:rsidRPr="00E44D59">
        <w:rPr>
          <w:lang w:eastAsia="en-AU"/>
        </w:rPr>
        <w:t xml:space="preserve"> notes that 90.5</w:t>
      </w:r>
      <w:r w:rsidR="005954CD">
        <w:rPr>
          <w:lang w:eastAsia="en-AU"/>
        </w:rPr>
        <w:t xml:space="preserve"> per cent</w:t>
      </w:r>
      <w:r w:rsidRPr="00E44D59">
        <w:rPr>
          <w:lang w:eastAsia="en-AU"/>
        </w:rPr>
        <w:t xml:space="preserve"> of application</w:t>
      </w:r>
      <w:r w:rsidR="009D0B29">
        <w:rPr>
          <w:lang w:eastAsia="en-AU"/>
        </w:rPr>
        <w:t>s</w:t>
      </w:r>
      <w:r w:rsidRPr="00E44D59">
        <w:rPr>
          <w:lang w:eastAsia="en-AU"/>
        </w:rPr>
        <w:t xml:space="preserve"> for leave to cross-examine were granted. </w:t>
      </w:r>
      <w:r w:rsidR="004F30EA">
        <w:rPr>
          <w:lang w:eastAsia="en-AU"/>
        </w:rPr>
        <w:t>T</w:t>
      </w:r>
      <w:r w:rsidRPr="00E44D59">
        <w:rPr>
          <w:lang w:eastAsia="en-AU"/>
        </w:rPr>
        <w:t xml:space="preserve">he data does not show that sometimes </w:t>
      </w:r>
      <w:r>
        <w:rPr>
          <w:lang w:eastAsia="en-AU"/>
        </w:rPr>
        <w:t xml:space="preserve">the only witness is </w:t>
      </w:r>
      <w:r w:rsidRPr="00E44D59">
        <w:rPr>
          <w:lang w:eastAsia="en-AU"/>
        </w:rPr>
        <w:t>the police informant</w:t>
      </w:r>
      <w:r>
        <w:rPr>
          <w:lang w:eastAsia="en-AU"/>
        </w:rPr>
        <w:t>,</w:t>
      </w:r>
      <w:r w:rsidRPr="00E44D59">
        <w:rPr>
          <w:lang w:eastAsia="en-AU"/>
        </w:rPr>
        <w:t xml:space="preserve"> and </w:t>
      </w:r>
      <w:r w:rsidR="009D0B29">
        <w:rPr>
          <w:lang w:eastAsia="en-AU"/>
        </w:rPr>
        <w:t xml:space="preserve">in some cases </w:t>
      </w:r>
      <w:r w:rsidR="004F30EA">
        <w:rPr>
          <w:lang w:eastAsia="en-AU"/>
        </w:rPr>
        <w:t xml:space="preserve">neither the </w:t>
      </w:r>
      <w:r w:rsidR="009D0B29">
        <w:rPr>
          <w:lang w:eastAsia="en-AU"/>
        </w:rPr>
        <w:t xml:space="preserve">complainant </w:t>
      </w:r>
      <w:r w:rsidR="004F30EA">
        <w:rPr>
          <w:lang w:eastAsia="en-AU"/>
        </w:rPr>
        <w:t xml:space="preserve">nor </w:t>
      </w:r>
      <w:r w:rsidR="00AB6E36">
        <w:rPr>
          <w:lang w:eastAsia="en-AU"/>
        </w:rPr>
        <w:t>other</w:t>
      </w:r>
      <w:r w:rsidR="00AB6E36" w:rsidRPr="00E44D59">
        <w:rPr>
          <w:lang w:eastAsia="en-AU"/>
        </w:rPr>
        <w:t xml:space="preserve"> </w:t>
      </w:r>
      <w:r w:rsidRPr="00E44D59">
        <w:rPr>
          <w:lang w:eastAsia="en-AU"/>
        </w:rPr>
        <w:t xml:space="preserve">witnesses are called to give </w:t>
      </w:r>
      <w:r w:rsidRPr="00494FAC">
        <w:t>evidence</w:t>
      </w:r>
      <w:r w:rsidRPr="00E44D59">
        <w:rPr>
          <w:lang w:eastAsia="en-AU"/>
        </w:rPr>
        <w:t>. Th</w:t>
      </w:r>
      <w:r>
        <w:rPr>
          <w:lang w:eastAsia="en-AU"/>
        </w:rPr>
        <w:t>e</w:t>
      </w:r>
      <w:r w:rsidRPr="00E44D59">
        <w:rPr>
          <w:lang w:eastAsia="en-AU"/>
        </w:rPr>
        <w:t xml:space="preserve"> data </w:t>
      </w:r>
      <w:r>
        <w:rPr>
          <w:lang w:eastAsia="en-AU"/>
        </w:rPr>
        <w:t xml:space="preserve">also </w:t>
      </w:r>
      <w:r w:rsidRPr="00E44D59">
        <w:rPr>
          <w:lang w:eastAsia="en-AU"/>
        </w:rPr>
        <w:t xml:space="preserve">does not demonstrate how often the </w:t>
      </w:r>
      <w:r>
        <w:rPr>
          <w:lang w:eastAsia="en-AU"/>
        </w:rPr>
        <w:t>i</w:t>
      </w:r>
      <w:r w:rsidRPr="00E44D59">
        <w:rPr>
          <w:lang w:eastAsia="en-AU"/>
        </w:rPr>
        <w:t xml:space="preserve">nformant and </w:t>
      </w:r>
      <w:r>
        <w:rPr>
          <w:lang w:eastAsia="en-AU"/>
        </w:rPr>
        <w:t xml:space="preserve">the </w:t>
      </w:r>
      <w:r w:rsidRPr="00E44D59">
        <w:rPr>
          <w:lang w:eastAsia="en-AU"/>
        </w:rPr>
        <w:t xml:space="preserve">OPP do not oppose the defence application to cross-examine witnesses. The </w:t>
      </w:r>
      <w:r>
        <w:rPr>
          <w:lang w:eastAsia="en-AU"/>
        </w:rPr>
        <w:t>i</w:t>
      </w:r>
      <w:r w:rsidRPr="00E44D59">
        <w:rPr>
          <w:lang w:eastAsia="en-AU"/>
        </w:rPr>
        <w:t>nformant and OPP often share the defence view that calling a witness at committal hearing does satisfy the legislative provisions under s</w:t>
      </w:r>
      <w:r w:rsidR="009D0B29">
        <w:rPr>
          <w:lang w:eastAsia="en-AU"/>
        </w:rPr>
        <w:t xml:space="preserve">ection </w:t>
      </w:r>
      <w:r w:rsidRPr="00E44D59">
        <w:rPr>
          <w:lang w:eastAsia="en-AU"/>
        </w:rPr>
        <w:t xml:space="preserve">124 </w:t>
      </w:r>
      <w:r w:rsidRPr="00AB05FE">
        <w:rPr>
          <w:lang w:eastAsia="en-AU"/>
        </w:rPr>
        <w:t xml:space="preserve">Criminal Procedure Act. </w:t>
      </w:r>
    </w:p>
    <w:p w14:paraId="44A5A5C0" w14:textId="57C09584" w:rsidR="00633B81" w:rsidRPr="008B5A4C" w:rsidRDefault="00633B81" w:rsidP="00633B81">
      <w:pPr>
        <w:pStyle w:val="VLADocumentText"/>
        <w:rPr>
          <w:rFonts w:cs="Arial"/>
        </w:rPr>
      </w:pPr>
      <w:r w:rsidRPr="00131017">
        <w:rPr>
          <w:rFonts w:cs="Arial"/>
          <w:lang w:eastAsia="en-AU"/>
        </w:rPr>
        <w:t>The importance of committal hearing</w:t>
      </w:r>
      <w:r>
        <w:rPr>
          <w:rFonts w:cs="Arial"/>
          <w:lang w:eastAsia="en-AU"/>
        </w:rPr>
        <w:t>s</w:t>
      </w:r>
      <w:r w:rsidRPr="00131017">
        <w:rPr>
          <w:rFonts w:cs="Arial"/>
          <w:lang w:eastAsia="en-AU"/>
        </w:rPr>
        <w:t xml:space="preserve"> in facilitating an ability of the accused to test the prosecution case, especially in complex committal proceedings, and the consequences flowing from the loss of that opportunity has been highlighted in </w:t>
      </w:r>
      <w:r w:rsidRPr="008B5A4C">
        <w:rPr>
          <w:rFonts w:cs="Arial"/>
          <w:lang w:eastAsia="en-AU"/>
        </w:rPr>
        <w:t>Queensland</w:t>
      </w:r>
      <w:r w:rsidRPr="00131017">
        <w:rPr>
          <w:rFonts w:cs="Arial"/>
          <w:lang w:eastAsia="en-AU"/>
        </w:rPr>
        <w:t xml:space="preserve">. In that </w:t>
      </w:r>
      <w:r>
        <w:rPr>
          <w:rFonts w:cs="Arial"/>
          <w:lang w:eastAsia="en-AU"/>
        </w:rPr>
        <w:t>s</w:t>
      </w:r>
      <w:r w:rsidRPr="00131017">
        <w:rPr>
          <w:rFonts w:cs="Arial"/>
          <w:lang w:eastAsia="en-AU"/>
        </w:rPr>
        <w:t xml:space="preserve">tate </w:t>
      </w:r>
      <w:r w:rsidR="00AB6E36">
        <w:rPr>
          <w:rFonts w:cs="Arial"/>
          <w:lang w:eastAsia="en-AU"/>
        </w:rPr>
        <w:t>l</w:t>
      </w:r>
      <w:r w:rsidRPr="00131017">
        <w:rPr>
          <w:rFonts w:cs="Arial"/>
          <w:lang w:eastAsia="en-AU"/>
        </w:rPr>
        <w:t xml:space="preserve">egal </w:t>
      </w:r>
      <w:r w:rsidR="00AB6E36">
        <w:rPr>
          <w:rFonts w:cs="Arial"/>
          <w:lang w:eastAsia="en-AU"/>
        </w:rPr>
        <w:t>a</w:t>
      </w:r>
      <w:r w:rsidRPr="00131017">
        <w:rPr>
          <w:rFonts w:cs="Arial"/>
          <w:lang w:eastAsia="en-AU"/>
        </w:rPr>
        <w:t xml:space="preserve">id colleagues advise </w:t>
      </w:r>
      <w:r w:rsidR="00AB6E36">
        <w:rPr>
          <w:rFonts w:cs="Arial"/>
          <w:lang w:eastAsia="en-AU"/>
        </w:rPr>
        <w:t xml:space="preserve">that </w:t>
      </w:r>
      <w:r>
        <w:rPr>
          <w:rFonts w:cs="Arial"/>
        </w:rPr>
        <w:t>j</w:t>
      </w:r>
      <w:r w:rsidRPr="008B5A4C">
        <w:rPr>
          <w:rFonts w:cs="Arial"/>
        </w:rPr>
        <w:t xml:space="preserve">udges from the Supreme and District Courts have found that removing committals has led to increased problems with a lack of prosecution disclosure and an increased use of </w:t>
      </w:r>
      <w:r w:rsidRPr="00D948C2">
        <w:rPr>
          <w:rFonts w:cs="Arial"/>
          <w:i/>
          <w:iCs/>
        </w:rPr>
        <w:t>Basha</w:t>
      </w:r>
      <w:r w:rsidRPr="00D948C2">
        <w:rPr>
          <w:rFonts w:cs="Arial"/>
        </w:rPr>
        <w:t xml:space="preserve"> hearings to compensate for the fact that witnesses have not been examined by the defence.</w:t>
      </w:r>
      <w:r w:rsidRPr="008B5A4C">
        <w:rPr>
          <w:rStyle w:val="FootnoteReference"/>
          <w:rFonts w:cs="Arial"/>
        </w:rPr>
        <w:footnoteReference w:id="36"/>
      </w:r>
      <w:r w:rsidRPr="008B5A4C">
        <w:rPr>
          <w:rFonts w:cs="Arial"/>
        </w:rPr>
        <w:t xml:space="preserve"> </w:t>
      </w:r>
      <w:r w:rsidR="00FD568F">
        <w:rPr>
          <w:rFonts w:cs="Arial"/>
          <w:lang w:eastAsia="en-AU"/>
        </w:rPr>
        <w:t>T</w:t>
      </w:r>
      <w:r w:rsidRPr="008B5A4C">
        <w:rPr>
          <w:rFonts w:cs="Arial"/>
          <w:lang w:eastAsia="en-AU"/>
        </w:rPr>
        <w:t xml:space="preserve">he </w:t>
      </w:r>
      <w:r w:rsidRPr="00A4012A">
        <w:rPr>
          <w:rFonts w:cs="Arial"/>
          <w:lang w:eastAsia="en-AU"/>
        </w:rPr>
        <w:t>Queensland</w:t>
      </w:r>
      <w:r w:rsidRPr="008B5A4C">
        <w:rPr>
          <w:rFonts w:cs="Arial"/>
          <w:lang w:eastAsia="en-AU"/>
        </w:rPr>
        <w:t xml:space="preserve"> experience demonstrates that </w:t>
      </w:r>
      <w:r w:rsidR="00AB6E36">
        <w:rPr>
          <w:rFonts w:cs="Arial"/>
          <w:lang w:eastAsia="en-AU"/>
        </w:rPr>
        <w:t xml:space="preserve">removing </w:t>
      </w:r>
      <w:r w:rsidRPr="008B5A4C">
        <w:rPr>
          <w:rFonts w:cs="Arial"/>
          <w:lang w:eastAsia="en-AU"/>
        </w:rPr>
        <w:t xml:space="preserve">the </w:t>
      </w:r>
      <w:r w:rsidRPr="008B5A4C">
        <w:rPr>
          <w:rFonts w:cs="Arial"/>
          <w:lang w:eastAsia="en-AU"/>
        </w:rPr>
        <w:lastRenderedPageBreak/>
        <w:t>accused</w:t>
      </w:r>
      <w:r>
        <w:rPr>
          <w:rFonts w:cs="Arial"/>
          <w:lang w:eastAsia="en-AU"/>
        </w:rPr>
        <w:t>’s</w:t>
      </w:r>
      <w:r w:rsidRPr="008B5A4C">
        <w:rPr>
          <w:rFonts w:cs="Arial"/>
          <w:lang w:eastAsia="en-AU"/>
        </w:rPr>
        <w:t xml:space="preserve"> ability to conduct meaningful cross-examinations</w:t>
      </w:r>
      <w:r w:rsidRPr="00D948C2">
        <w:rPr>
          <w:rFonts w:cs="Arial"/>
          <w:lang w:eastAsia="en-AU"/>
        </w:rPr>
        <w:t xml:space="preserve"> on specific issues </w:t>
      </w:r>
      <w:r w:rsidRPr="00F76048">
        <w:rPr>
          <w:rFonts w:cs="Arial"/>
          <w:lang w:eastAsia="en-AU"/>
        </w:rPr>
        <w:t>at committal</w:t>
      </w:r>
      <w:r>
        <w:rPr>
          <w:rFonts w:cs="Arial"/>
          <w:lang w:eastAsia="en-AU"/>
        </w:rPr>
        <w:t>,</w:t>
      </w:r>
      <w:r w:rsidRPr="00F76048">
        <w:rPr>
          <w:rFonts w:cs="Arial"/>
          <w:lang w:eastAsia="en-AU"/>
        </w:rPr>
        <w:t xml:space="preserve"> </w:t>
      </w:r>
      <w:r w:rsidR="00FD568F">
        <w:rPr>
          <w:rFonts w:cs="Arial"/>
          <w:lang w:eastAsia="en-AU"/>
        </w:rPr>
        <w:t>frustrates disclosure and</w:t>
      </w:r>
      <w:r w:rsidR="00FD568F" w:rsidRPr="00F76048">
        <w:rPr>
          <w:rFonts w:cs="Arial"/>
          <w:lang w:eastAsia="en-AU"/>
        </w:rPr>
        <w:t xml:space="preserve"> </w:t>
      </w:r>
      <w:r w:rsidRPr="00F76048">
        <w:rPr>
          <w:rFonts w:cs="Arial"/>
          <w:lang w:eastAsia="en-AU"/>
        </w:rPr>
        <w:t>shift</w:t>
      </w:r>
      <w:r>
        <w:rPr>
          <w:rFonts w:cs="Arial"/>
          <w:lang w:eastAsia="en-AU"/>
        </w:rPr>
        <w:t>s</w:t>
      </w:r>
      <w:r w:rsidRPr="00F76048">
        <w:rPr>
          <w:rFonts w:cs="Arial"/>
          <w:lang w:eastAsia="en-AU"/>
        </w:rPr>
        <w:t xml:space="preserve"> the exercise to </w:t>
      </w:r>
      <w:r w:rsidRPr="00131017">
        <w:rPr>
          <w:rFonts w:cs="Arial"/>
          <w:lang w:eastAsia="en-AU"/>
        </w:rPr>
        <w:t xml:space="preserve">the costly higher courts. </w:t>
      </w:r>
    </w:p>
    <w:p w14:paraId="7E9146AD" w14:textId="1234C172" w:rsidR="001C5BB0" w:rsidRDefault="00633B81" w:rsidP="00633B81">
      <w:pPr>
        <w:pStyle w:val="VLADocumentText"/>
      </w:pPr>
      <w:r w:rsidRPr="00E44D59">
        <w:t xml:space="preserve">It is worth noting the basis of the committals reforms in </w:t>
      </w:r>
      <w:r w:rsidRPr="00184372">
        <w:t>Queensland</w:t>
      </w:r>
      <w:r w:rsidRPr="00E44D59">
        <w:t xml:space="preserve">, which were the recommendations in the Report by Hon Martin Moynihan AO, </w:t>
      </w:r>
      <w:r w:rsidRPr="5C65E8A9">
        <w:rPr>
          <w:i/>
          <w:iCs/>
        </w:rPr>
        <w:t>Review of the civil and criminal justice system in Queensland</w:t>
      </w:r>
      <w:r w:rsidRPr="00E44D59">
        <w:t xml:space="preserve"> (Moynihan Report).</w:t>
      </w:r>
      <w:r w:rsidRPr="008B5A4C">
        <w:rPr>
          <w:rStyle w:val="FootnoteReference"/>
          <w:rFonts w:cs="Arial"/>
        </w:rPr>
        <w:footnoteReference w:id="37"/>
      </w:r>
      <w:r w:rsidRPr="00E44D59">
        <w:t xml:space="preserve"> The Moynihan Report found that witnesses were being cross-examined at committal for trivial matters; defence were not required to provide justification. Some practitioners demanded a list of witnesses be made available and then at the last moment were agreeing to a full or partial hand-up</w:t>
      </w:r>
      <w:r>
        <w:t xml:space="preserve"> brief</w:t>
      </w:r>
      <w:r w:rsidRPr="58FA310D">
        <w:t>.</w:t>
      </w:r>
      <w:r w:rsidRPr="008B5A4C">
        <w:rPr>
          <w:rStyle w:val="FootnoteReference"/>
          <w:rFonts w:cs="Arial"/>
        </w:rPr>
        <w:footnoteReference w:id="38"/>
      </w:r>
      <w:r w:rsidRPr="00E44D59">
        <w:t xml:space="preserve"> This led to delays in the committal stream. The threshold which the accused must now meet </w:t>
      </w:r>
      <w:r w:rsidR="00811967">
        <w:t xml:space="preserve">for </w:t>
      </w:r>
      <w:r w:rsidR="007E4FE0">
        <w:t xml:space="preserve">cross-examination </w:t>
      </w:r>
      <w:r w:rsidRPr="00E44D59">
        <w:t>is modelled on the New South Wales test.</w:t>
      </w:r>
      <w:r w:rsidRPr="008B5A4C">
        <w:rPr>
          <w:rStyle w:val="FootnoteReference"/>
          <w:rFonts w:cs="Arial"/>
        </w:rPr>
        <w:footnoteReference w:id="39"/>
      </w:r>
      <w:r w:rsidRPr="00E44D59">
        <w:t xml:space="preserve"> </w:t>
      </w:r>
      <w:r w:rsidR="007E4FE0">
        <w:t>T</w:t>
      </w:r>
      <w:r w:rsidR="002E0FBA">
        <w:t>his is no longer the position in Victoria</w:t>
      </w:r>
      <w:r w:rsidR="007E4FE0">
        <w:t>, where the magistrate must be satisfied that the cross-examination is relevant and justified</w:t>
      </w:r>
      <w:r w:rsidR="008B6F7A">
        <w:t xml:space="preserve"> (discussed below)</w:t>
      </w:r>
      <w:r w:rsidR="002E0FBA">
        <w:t xml:space="preserve">. </w:t>
      </w:r>
    </w:p>
    <w:p w14:paraId="7A723F40" w14:textId="4D86C6DC" w:rsidR="00633B81" w:rsidRPr="00184372" w:rsidRDefault="00633B81" w:rsidP="00633B81">
      <w:pPr>
        <w:pStyle w:val="VLADocumentText"/>
        <w:rPr>
          <w:b/>
        </w:rPr>
      </w:pPr>
      <w:r>
        <w:t xml:space="preserve">The experience in </w:t>
      </w:r>
      <w:r w:rsidRPr="00184372">
        <w:t xml:space="preserve">Western Australia </w:t>
      </w:r>
      <w:r>
        <w:t>provides a good example of how the lack of committal hearing procedures in the Magistrates’ Court</w:t>
      </w:r>
      <w:r w:rsidR="008B6F7A">
        <w:t>,</w:t>
      </w:r>
      <w:r>
        <w:t xml:space="preserve"> combined with inadequate disclosure</w:t>
      </w:r>
      <w:r w:rsidR="008B6F7A">
        <w:t>,</w:t>
      </w:r>
      <w:r>
        <w:t xml:space="preserve"> heightens the disadvantages suffered by accused persons.</w:t>
      </w:r>
      <w:r w:rsidR="00981955">
        <w:t xml:space="preserve"> I</w:t>
      </w:r>
      <w:r>
        <w:t xml:space="preserve">t is important to put the </w:t>
      </w:r>
      <w:r w:rsidRPr="0010400A">
        <w:t>West</w:t>
      </w:r>
      <w:r w:rsidR="00E7247F">
        <w:t>ern</w:t>
      </w:r>
      <w:r w:rsidRPr="0010400A">
        <w:t xml:space="preserve"> Australian </w:t>
      </w:r>
      <w:r>
        <w:t xml:space="preserve">committals reforms into context. Prior to the committal reforms in </w:t>
      </w:r>
      <w:r w:rsidRPr="0010400A">
        <w:t>West</w:t>
      </w:r>
      <w:r w:rsidR="00E7247F">
        <w:t>ern</w:t>
      </w:r>
      <w:r w:rsidRPr="0010400A">
        <w:t xml:space="preserve"> Australia</w:t>
      </w:r>
      <w:r w:rsidR="00E7247F">
        <w:t>,</w:t>
      </w:r>
      <w:r w:rsidRPr="0010400A">
        <w:t xml:space="preserve"> </w:t>
      </w:r>
      <w:r>
        <w:t xml:space="preserve">some committal hearings went for weeks, </w:t>
      </w:r>
      <w:r w:rsidR="00021D0F">
        <w:t xml:space="preserve">if </w:t>
      </w:r>
      <w:r>
        <w:t xml:space="preserve">the </w:t>
      </w:r>
      <w:r w:rsidRPr="0010400A">
        <w:t>accused</w:t>
      </w:r>
      <w:r>
        <w:t xml:space="preserve"> </w:t>
      </w:r>
      <w:r w:rsidR="00021D0F">
        <w:t xml:space="preserve">had </w:t>
      </w:r>
      <w:r>
        <w:t xml:space="preserve">financial capacity to run lengthy committals. </w:t>
      </w:r>
      <w:r w:rsidR="00021D0F">
        <w:t xml:space="preserve">The reforms were introduced </w:t>
      </w:r>
      <w:r w:rsidR="001C0774">
        <w:t xml:space="preserve">as a reaction to those </w:t>
      </w:r>
      <w:r w:rsidR="00021D0F">
        <w:t xml:space="preserve">unnecessarily long committal hearings. </w:t>
      </w:r>
      <w:r>
        <w:t xml:space="preserve">However, </w:t>
      </w:r>
      <w:r w:rsidR="002E137C">
        <w:t xml:space="preserve">as all committals were abolished, </w:t>
      </w:r>
      <w:r>
        <w:t>th</w:t>
      </w:r>
      <w:r w:rsidR="001C0774">
        <w:t xml:space="preserve">e </w:t>
      </w:r>
      <w:r w:rsidR="002E137C">
        <w:t xml:space="preserve">opportunity </w:t>
      </w:r>
      <w:r w:rsidR="001C0774">
        <w:t xml:space="preserve">to </w:t>
      </w:r>
      <w:r>
        <w:t xml:space="preserve">narrow </w:t>
      </w:r>
      <w:r w:rsidR="00533B8C">
        <w:t xml:space="preserve">the </w:t>
      </w:r>
      <w:r>
        <w:t>issues</w:t>
      </w:r>
      <w:r w:rsidR="001C0774">
        <w:t xml:space="preserve"> </w:t>
      </w:r>
      <w:r w:rsidR="00533B8C">
        <w:t xml:space="preserve">for trial </w:t>
      </w:r>
      <w:r w:rsidR="00240112">
        <w:t xml:space="preserve">in </w:t>
      </w:r>
      <w:r w:rsidR="00533B8C">
        <w:t xml:space="preserve">confined </w:t>
      </w:r>
      <w:r w:rsidR="00240112">
        <w:t xml:space="preserve">1-2 day committals was </w:t>
      </w:r>
      <w:r w:rsidR="001C0774">
        <w:t xml:space="preserve">also </w:t>
      </w:r>
      <w:r w:rsidR="002E137C">
        <w:t>lost</w:t>
      </w:r>
      <w:r>
        <w:t xml:space="preserve">. </w:t>
      </w:r>
    </w:p>
    <w:p w14:paraId="49EF66B9" w14:textId="5B7628E1" w:rsidR="00633B81" w:rsidRPr="00AB05FE" w:rsidRDefault="00633B81" w:rsidP="003A6422">
      <w:pPr>
        <w:pStyle w:val="VLADocumentText"/>
        <w:rPr>
          <w:lang w:eastAsia="en-AU"/>
        </w:rPr>
      </w:pPr>
      <w:r>
        <w:t xml:space="preserve">The abolition of committals </w:t>
      </w:r>
      <w:r w:rsidR="001C0774">
        <w:t>in W</w:t>
      </w:r>
      <w:r w:rsidR="5A044B35">
        <w:t>estern A</w:t>
      </w:r>
      <w:r w:rsidR="2E64B5AB">
        <w:t xml:space="preserve">ustralia </w:t>
      </w:r>
      <w:r>
        <w:t xml:space="preserve">was introduced against the </w:t>
      </w:r>
      <w:r w:rsidR="002F285E">
        <w:t xml:space="preserve">expectation </w:t>
      </w:r>
      <w:r>
        <w:t>that there would be improvement</w:t>
      </w:r>
      <w:r w:rsidR="002F285E">
        <w:t>s</w:t>
      </w:r>
      <w:r>
        <w:t xml:space="preserve"> in disclosure</w:t>
      </w:r>
      <w:r w:rsidR="00C65568">
        <w:t>,</w:t>
      </w:r>
      <w:r>
        <w:t xml:space="preserve"> plea resolutions and quality </w:t>
      </w:r>
      <w:r w:rsidR="00C65568">
        <w:t>of</w:t>
      </w:r>
      <w:r>
        <w:t xml:space="preserve"> charging process</w:t>
      </w:r>
      <w:r w:rsidR="00C65568">
        <w:t>es</w:t>
      </w:r>
      <w:r>
        <w:t xml:space="preserve">. The Director of Aboriginal Legal Service in Western Australia advises that in their practice and experience these </w:t>
      </w:r>
      <w:r w:rsidR="00533B8C">
        <w:t xml:space="preserve">expectations </w:t>
      </w:r>
      <w:r>
        <w:t xml:space="preserve">have not </w:t>
      </w:r>
      <w:r w:rsidR="00E31D61">
        <w:t>been realised</w:t>
      </w:r>
      <w:r w:rsidR="00C65568">
        <w:t xml:space="preserve">, in part due to </w:t>
      </w:r>
      <w:r w:rsidR="00631B58">
        <w:t xml:space="preserve">limitations </w:t>
      </w:r>
      <w:r w:rsidR="00C65568">
        <w:t>inherent to the depth of disclosure i</w:t>
      </w:r>
      <w:r w:rsidR="00631B58">
        <w:t>n the initial brief of</w:t>
      </w:r>
      <w:r w:rsidR="00C65568">
        <w:t xml:space="preserve"> evidence</w:t>
      </w:r>
      <w:r w:rsidR="00631B58">
        <w:t xml:space="preserve">. </w:t>
      </w:r>
      <w:r w:rsidR="003A6422">
        <w:t>S</w:t>
      </w:r>
      <w:r>
        <w:t>tatement</w:t>
      </w:r>
      <w:r w:rsidR="004924A7">
        <w:t>s</w:t>
      </w:r>
      <w:r>
        <w:t xml:space="preserve"> </w:t>
      </w:r>
      <w:r w:rsidR="003A6422">
        <w:t xml:space="preserve">obtained </w:t>
      </w:r>
      <w:r>
        <w:t xml:space="preserve">from witness </w:t>
      </w:r>
      <w:r w:rsidR="003A6422">
        <w:t xml:space="preserve">in the early stages of an investigation are </w:t>
      </w:r>
      <w:r w:rsidR="00836C4D">
        <w:t xml:space="preserve">structured </w:t>
      </w:r>
      <w:r w:rsidR="00C65568">
        <w:t xml:space="preserve">according to the police officer’s </w:t>
      </w:r>
      <w:r w:rsidR="00F1565C">
        <w:t>view of what has occurred</w:t>
      </w:r>
      <w:r>
        <w:t xml:space="preserve">. Any evidence not contained in the statement is not necessarily on account of a witness hiding or withholding information. </w:t>
      </w:r>
      <w:r w:rsidR="00631B58">
        <w:t xml:space="preserve">As an </w:t>
      </w:r>
      <w:r>
        <w:t>example, a witness may give evidence pertaining to the elements of an assault charge</w:t>
      </w:r>
      <w:r w:rsidR="00631B58">
        <w:t>,</w:t>
      </w:r>
      <w:r>
        <w:t xml:space="preserve"> </w:t>
      </w:r>
      <w:r w:rsidR="00631B58">
        <w:t xml:space="preserve">but </w:t>
      </w:r>
      <w:r>
        <w:t xml:space="preserve">may not be asked about how much alcohol or drugs they may have consumed prior to the witnessing the assault. </w:t>
      </w:r>
      <w:r w:rsidR="00265B51">
        <w:t xml:space="preserve">Cross-examination of the </w:t>
      </w:r>
      <w:r>
        <w:t>witness at committal allows for critical analysis of the evidence by both the prosecution and defence.</w:t>
      </w:r>
      <w:r w:rsidR="00B5654F">
        <w:t xml:space="preserve"> </w:t>
      </w:r>
    </w:p>
    <w:p w14:paraId="27FD8786" w14:textId="4444E6A3" w:rsidR="001C0774" w:rsidRDefault="00633B81" w:rsidP="001C0774">
      <w:pPr>
        <w:pStyle w:val="Heading1"/>
      </w:pPr>
      <w:bookmarkStart w:id="72" w:name="_Toc17050684"/>
      <w:bookmarkStart w:id="73" w:name="_Toc17155097"/>
      <w:r w:rsidRPr="00E44D59">
        <w:t>Question 8. Should some or all of the existing pre-trial opportunities to cross-examine victims and witnesses be retained? If so why?</w:t>
      </w:r>
      <w:bookmarkEnd w:id="72"/>
      <w:bookmarkEnd w:id="73"/>
    </w:p>
    <w:p w14:paraId="194CE4BB" w14:textId="41E35BF7" w:rsidR="005648A1" w:rsidRDefault="00084669" w:rsidP="00A84B17">
      <w:r>
        <w:t>VLA supports the retention of</w:t>
      </w:r>
      <w:r w:rsidR="003305DB">
        <w:t xml:space="preserve"> </w:t>
      </w:r>
      <w:r>
        <w:t>a</w:t>
      </w:r>
      <w:r w:rsidR="002D0923">
        <w:t>ccess to pre-trial opportunities for cross-examination on confined issues for appropriate complainants and witnesses</w:t>
      </w:r>
      <w:r w:rsidR="005648A1">
        <w:t xml:space="preserve"> because:</w:t>
      </w:r>
    </w:p>
    <w:p w14:paraId="3DE4F939" w14:textId="5B32EC11" w:rsidR="005648A1" w:rsidRDefault="005648A1" w:rsidP="005648A1">
      <w:pPr>
        <w:pStyle w:val="ListParagraph"/>
        <w:numPr>
          <w:ilvl w:val="0"/>
          <w:numId w:val="53"/>
        </w:numPr>
      </w:pPr>
      <w:r>
        <w:t xml:space="preserve">it frequently </w:t>
      </w:r>
      <w:r w:rsidR="0069476B">
        <w:t xml:space="preserve">leads to resolution and </w:t>
      </w:r>
      <w:r w:rsidR="00B25C91">
        <w:t xml:space="preserve">avoids </w:t>
      </w:r>
      <w:r>
        <w:t>the need for a trial, saving victims</w:t>
      </w:r>
      <w:r w:rsidR="00D607AA">
        <w:t xml:space="preserve"> </w:t>
      </w:r>
      <w:r>
        <w:t>from</w:t>
      </w:r>
      <w:r w:rsidR="00D70650">
        <w:t xml:space="preserve"> </w:t>
      </w:r>
      <w:r w:rsidR="00D607AA">
        <w:t xml:space="preserve">having to give </w:t>
      </w:r>
      <w:r>
        <w:t>evidence twice and the cost of a trial;</w:t>
      </w:r>
    </w:p>
    <w:p w14:paraId="455B647D" w14:textId="7141E579" w:rsidR="005648A1" w:rsidRDefault="005648A1" w:rsidP="005648A1">
      <w:pPr>
        <w:pStyle w:val="ListParagraph"/>
        <w:numPr>
          <w:ilvl w:val="0"/>
          <w:numId w:val="53"/>
        </w:numPr>
      </w:pPr>
      <w:r>
        <w:lastRenderedPageBreak/>
        <w:t xml:space="preserve">the </w:t>
      </w:r>
      <w:r w:rsidR="00D70650">
        <w:t xml:space="preserve">committal </w:t>
      </w:r>
      <w:r>
        <w:t xml:space="preserve">process can be </w:t>
      </w:r>
      <w:r w:rsidR="00D70650">
        <w:t xml:space="preserve">a positive experience, and </w:t>
      </w:r>
      <w:r w:rsidR="006D426F">
        <w:t xml:space="preserve">cross-examination </w:t>
      </w:r>
      <w:r w:rsidR="00D70650">
        <w:t xml:space="preserve">can be </w:t>
      </w:r>
      <w:r>
        <w:t xml:space="preserve">confined and well-managed </w:t>
      </w:r>
      <w:r w:rsidR="003305DB">
        <w:t xml:space="preserve">to minimise </w:t>
      </w:r>
      <w:r>
        <w:t>distress;</w:t>
      </w:r>
    </w:p>
    <w:p w14:paraId="55CFE41C" w14:textId="135EC355" w:rsidR="005648A1" w:rsidRDefault="005648A1" w:rsidP="005648A1">
      <w:pPr>
        <w:pStyle w:val="ListParagraph"/>
        <w:numPr>
          <w:ilvl w:val="0"/>
          <w:numId w:val="53"/>
        </w:numPr>
      </w:pPr>
      <w:r>
        <w:t xml:space="preserve">victims could </w:t>
      </w:r>
      <w:r w:rsidR="00B46E5F">
        <w:t>may feel</w:t>
      </w:r>
      <w:r w:rsidR="003305DB">
        <w:t xml:space="preserve"> </w:t>
      </w:r>
      <w:r>
        <w:t xml:space="preserve">empowered </w:t>
      </w:r>
      <w:r w:rsidR="00B46E5F">
        <w:t>by the opportunity</w:t>
      </w:r>
      <w:r>
        <w:t xml:space="preserve"> to tell their story</w:t>
      </w:r>
      <w:r w:rsidR="00B46E5F">
        <w:t xml:space="preserve"> and participate in the process</w:t>
      </w:r>
      <w:r>
        <w:t xml:space="preserve">; </w:t>
      </w:r>
    </w:p>
    <w:p w14:paraId="00699AB0" w14:textId="626B1A78" w:rsidR="005648A1" w:rsidRDefault="005648A1" w:rsidP="005648A1">
      <w:pPr>
        <w:pStyle w:val="ListParagraph"/>
        <w:numPr>
          <w:ilvl w:val="0"/>
          <w:numId w:val="53"/>
        </w:numPr>
      </w:pPr>
      <w:r>
        <w:t xml:space="preserve">victims and witnesses could be provided with appropriate information and supports </w:t>
      </w:r>
      <w:r w:rsidR="00B46E5F">
        <w:t xml:space="preserve">to </w:t>
      </w:r>
      <w:r w:rsidR="00BA3363">
        <w:t>support their understanding</w:t>
      </w:r>
      <w:r w:rsidR="00B46E5F">
        <w:t xml:space="preserve"> </w:t>
      </w:r>
      <w:r w:rsidR="00BA3363">
        <w:t xml:space="preserve">of the </w:t>
      </w:r>
      <w:r>
        <w:t>committal procedures.</w:t>
      </w:r>
    </w:p>
    <w:p w14:paraId="3211AD97" w14:textId="4721C920" w:rsidR="005648A1" w:rsidRDefault="005648A1" w:rsidP="003803F5">
      <w:pPr>
        <w:pStyle w:val="Heading3"/>
      </w:pPr>
      <w:bookmarkStart w:id="74" w:name="_Toc17050685"/>
      <w:bookmarkStart w:id="75" w:name="_Toc17155098"/>
      <w:r>
        <w:t xml:space="preserve">1. </w:t>
      </w:r>
      <w:r w:rsidR="00FD568F">
        <w:t xml:space="preserve">Role </w:t>
      </w:r>
      <w:r w:rsidR="00E74B1F">
        <w:t xml:space="preserve">of committals </w:t>
      </w:r>
      <w:r w:rsidR="00FD568F">
        <w:t>in</w:t>
      </w:r>
      <w:r>
        <w:t xml:space="preserve"> early resolution</w:t>
      </w:r>
      <w:bookmarkEnd w:id="74"/>
      <w:bookmarkEnd w:id="75"/>
    </w:p>
    <w:p w14:paraId="28772A67" w14:textId="47E3F44F" w:rsidR="003803F5" w:rsidRDefault="00A84B17" w:rsidP="00C633D0">
      <w:r>
        <w:t>Our experience is that cross-examination at the pre-trial stage is often pivotal in either facilitating a guilty plea and precluding the need for a trial</w:t>
      </w:r>
      <w:r w:rsidR="00BA3363">
        <w:t xml:space="preserve">. The process can also reduce </w:t>
      </w:r>
      <w:r>
        <w:t xml:space="preserve">the number of charges committed </w:t>
      </w:r>
      <w:r w:rsidR="004238F3">
        <w:t>or the issues in dispute</w:t>
      </w:r>
      <w:r w:rsidR="00F1565C">
        <w:t>,</w:t>
      </w:r>
      <w:r>
        <w:t xml:space="preserve"> thereby narrowing and shortening the subsequent trial</w:t>
      </w:r>
      <w:r w:rsidRPr="2FE06037">
        <w:t>.</w:t>
      </w:r>
      <w:r>
        <w:t xml:space="preserve"> </w:t>
      </w:r>
      <w:r w:rsidR="00C633D0">
        <w:t>A</w:t>
      </w:r>
      <w:r w:rsidR="003803F5">
        <w:t xml:space="preserve"> well-run</w:t>
      </w:r>
      <w:r w:rsidR="003803F5" w:rsidRPr="00A14281">
        <w:t xml:space="preserve"> committal can </w:t>
      </w:r>
      <w:r w:rsidR="003803F5">
        <w:t>avoid the need to give evidence at trial</w:t>
      </w:r>
      <w:r w:rsidR="009E33AA">
        <w:t>,</w:t>
      </w:r>
      <w:r w:rsidR="003803F5">
        <w:t xml:space="preserve"> </w:t>
      </w:r>
      <w:r w:rsidR="00181F2F">
        <w:t xml:space="preserve">which is </w:t>
      </w:r>
      <w:r w:rsidR="003803F5">
        <w:t>a length</w:t>
      </w:r>
      <w:r w:rsidR="00E351C2">
        <w:t>ier</w:t>
      </w:r>
      <w:r w:rsidR="003803F5">
        <w:t xml:space="preserve"> process where cross-examination </w:t>
      </w:r>
      <w:r w:rsidR="00181F2F">
        <w:t xml:space="preserve">does not have the same limitations and protections as </w:t>
      </w:r>
      <w:r w:rsidR="003803F5">
        <w:t>a confined committal proceeding.</w:t>
      </w:r>
    </w:p>
    <w:p w14:paraId="7EA283FC" w14:textId="1A33DE1E" w:rsidR="003803F5" w:rsidRDefault="003803F5" w:rsidP="003803F5">
      <w:pPr>
        <w:pStyle w:val="VLADocumentText"/>
      </w:pPr>
      <w:r>
        <w:rPr>
          <w:color w:val="000000"/>
        </w:rPr>
        <w:t xml:space="preserve">A critical component of cross-examination is the ability to </w:t>
      </w:r>
      <w:r w:rsidR="00450FD9">
        <w:rPr>
          <w:color w:val="000000"/>
        </w:rPr>
        <w:t xml:space="preserve">observe the presentation of </w:t>
      </w:r>
      <w:r w:rsidR="00E7698A">
        <w:rPr>
          <w:color w:val="000000"/>
        </w:rPr>
        <w:t xml:space="preserve">a </w:t>
      </w:r>
      <w:r w:rsidR="00450FD9">
        <w:rPr>
          <w:color w:val="000000"/>
        </w:rPr>
        <w:t xml:space="preserve">witness </w:t>
      </w:r>
      <w:r w:rsidR="00E7698A">
        <w:rPr>
          <w:color w:val="000000"/>
        </w:rPr>
        <w:t xml:space="preserve">and </w:t>
      </w:r>
      <w:r>
        <w:t>clarify the detail of the evidence so that the accused can understand the case against them.</w:t>
      </w:r>
      <w:r w:rsidR="00073140">
        <w:t xml:space="preserve"> </w:t>
      </w:r>
      <w:r w:rsidRPr="0030110F">
        <w:t>In some circumstances the evidence will be a reality test for the accused and encourage a guilty plea which was not previously forthcoming. In other circumstances the evidence will result in a refinement of issues in contention and lead to an appropriate plea offer.</w:t>
      </w:r>
      <w:r>
        <w:t xml:space="preserve"> </w:t>
      </w:r>
    </w:p>
    <w:p w14:paraId="325CB33F" w14:textId="202EE89C" w:rsidR="00162B11" w:rsidRDefault="00162B11" w:rsidP="002D0923">
      <w:pPr>
        <w:pStyle w:val="VLADocumentText"/>
      </w:pPr>
    </w:p>
    <w:tbl>
      <w:tblPr>
        <w:tblStyle w:val="TableGrid"/>
        <w:tblW w:w="8788" w:type="dxa"/>
        <w:tblInd w:w="279" w:type="dxa"/>
        <w:tblLayout w:type="fixed"/>
        <w:tblLook w:val="06A0" w:firstRow="1" w:lastRow="0" w:firstColumn="1" w:lastColumn="0" w:noHBand="1" w:noVBand="1"/>
      </w:tblPr>
      <w:tblGrid>
        <w:gridCol w:w="8788"/>
      </w:tblGrid>
      <w:tr w:rsidR="001C0774" w14:paraId="3D0DEA48" w14:textId="77777777" w:rsidTr="007E628B">
        <w:trPr>
          <w:trHeight w:val="4133"/>
        </w:trPr>
        <w:tc>
          <w:tcPr>
            <w:tcW w:w="8788" w:type="dxa"/>
          </w:tcPr>
          <w:p w14:paraId="77F911A5" w14:textId="12A9E9CB" w:rsidR="001C0774" w:rsidRDefault="00F51420" w:rsidP="00E74B1F">
            <w:pPr>
              <w:pStyle w:val="VLAclientexampletitle"/>
              <w:keepNext w:val="0"/>
            </w:pPr>
            <w:r>
              <w:t>Craig</w:t>
            </w:r>
            <w:r w:rsidR="00BD6EFE">
              <w:t xml:space="preserve"> – Role of committals in </w:t>
            </w:r>
            <w:r w:rsidR="007E6551">
              <w:t>encouraging a plea of guilty</w:t>
            </w:r>
          </w:p>
          <w:p w14:paraId="2926D8C2" w14:textId="12CF93E6" w:rsidR="001C0774" w:rsidRPr="001C0774" w:rsidRDefault="001C0774" w:rsidP="00E74B1F">
            <w:pPr>
              <w:pStyle w:val="VLAclientexample"/>
            </w:pPr>
            <w:r w:rsidRPr="001C0774">
              <w:t>Craig* was adamant that he would not plead guilty and no offers were made pre-committal. Craig was charged with rape, and the one day committal involved confined cross-examination of the complainant as the only witness. The committal cross-examination was less confrontational compared to a trial procedure because the committal cross-examin</w:t>
            </w:r>
            <w:r w:rsidR="009E33AA">
              <w:t>ation</w:t>
            </w:r>
            <w:r w:rsidR="00E74CD7">
              <w:t xml:space="preserve"> is confined</w:t>
            </w:r>
            <w:r w:rsidRPr="001C0774">
              <w:t xml:space="preserve"> </w:t>
            </w:r>
            <w:r w:rsidR="00E74CD7">
              <w:t xml:space="preserve">to </w:t>
            </w:r>
            <w:r w:rsidRPr="001C0774">
              <w:t xml:space="preserve">the discrete issues </w:t>
            </w:r>
            <w:r w:rsidR="00E74CD7">
              <w:t xml:space="preserve">on </w:t>
            </w:r>
            <w:r w:rsidRPr="001C0774">
              <w:t xml:space="preserve">which the magistrate has given </w:t>
            </w:r>
            <w:r w:rsidRPr="00DA73E5">
              <w:t>leave</w:t>
            </w:r>
            <w:r w:rsidRPr="001C0774">
              <w:t xml:space="preserve">. </w:t>
            </w:r>
          </w:p>
          <w:p w14:paraId="52566105" w14:textId="5BCD9F78" w:rsidR="001C0774" w:rsidRPr="001C0774" w:rsidRDefault="00E74CD7" w:rsidP="00E74B1F">
            <w:pPr>
              <w:pStyle w:val="VLAclientexample"/>
            </w:pPr>
            <w:r w:rsidRPr="001C0774">
              <w:t xml:space="preserve">The complainant was an impressive witness. </w:t>
            </w:r>
            <w:r w:rsidR="001C0774" w:rsidRPr="001C0774">
              <w:t xml:space="preserve">Craig </w:t>
            </w:r>
            <w:r>
              <w:t xml:space="preserve">was </w:t>
            </w:r>
            <w:r w:rsidR="001C0774" w:rsidRPr="001C0774">
              <w:t xml:space="preserve">confronted with the reality of the strength of the prosecution case. This persuaded Craig to enter a plea of guilt and an offer was made that afternoon. This </w:t>
            </w:r>
            <w:r w:rsidR="0066333B">
              <w:t xml:space="preserve">cross-examination </w:t>
            </w:r>
            <w:r w:rsidR="001C0774" w:rsidRPr="001C0774">
              <w:t>averted a trial and the complainant did not need to provide evidence more than once.</w:t>
            </w:r>
            <w:r w:rsidR="001C0774" w:rsidRPr="001C0774">
              <w:br/>
            </w:r>
          </w:p>
          <w:p w14:paraId="56D4CEC9" w14:textId="77777777" w:rsidR="001C0774" w:rsidRDefault="001C0774" w:rsidP="00E74B1F">
            <w:pPr>
              <w:pStyle w:val="VLAclientexample"/>
            </w:pPr>
            <w:r w:rsidRPr="001C0774">
              <w:t>*VLA client, not his real name</w:t>
            </w:r>
          </w:p>
        </w:tc>
      </w:tr>
    </w:tbl>
    <w:p w14:paraId="0FDEC873" w14:textId="77777777" w:rsidR="00D70650" w:rsidRDefault="00D70650" w:rsidP="00D70650"/>
    <w:p w14:paraId="64B362CA" w14:textId="697E1776" w:rsidR="002D0923" w:rsidRDefault="002D0923" w:rsidP="002D0923">
      <w:pPr>
        <w:pStyle w:val="VLADocumentText"/>
      </w:pPr>
      <w:r>
        <w:t xml:space="preserve">While the experience of giving evidence can be challenging for victims and witnesses, recent data suggests that only a small </w:t>
      </w:r>
      <w:r w:rsidRPr="00A14281">
        <w:t>number of witnesses are cross-examined at committal</w:t>
      </w:r>
      <w:r w:rsidR="00E94DFF">
        <w:t>:</w:t>
      </w:r>
      <w:r>
        <w:t xml:space="preserve"> </w:t>
      </w:r>
    </w:p>
    <w:p w14:paraId="50E1D3F8" w14:textId="385847F0" w:rsidR="002D0923" w:rsidRDefault="002D0923" w:rsidP="002D0923">
      <w:pPr>
        <w:pStyle w:val="VLADocumentText"/>
        <w:numPr>
          <w:ilvl w:val="0"/>
          <w:numId w:val="38"/>
        </w:numPr>
        <w:rPr>
          <w:i/>
        </w:rPr>
      </w:pPr>
      <w:r w:rsidRPr="00D70650">
        <w:rPr>
          <w:b/>
        </w:rPr>
        <w:t>Plea of guilty</w:t>
      </w:r>
      <w:r w:rsidR="004F30EA">
        <w:rPr>
          <w:i/>
        </w:rPr>
        <w:t>:</w:t>
      </w:r>
      <w:r>
        <w:rPr>
          <w:b/>
        </w:rPr>
        <w:t xml:space="preserve"> </w:t>
      </w:r>
      <w:r w:rsidR="004F30EA" w:rsidRPr="004F30EA">
        <w:t>t</w:t>
      </w:r>
      <w:r w:rsidRPr="00A14281">
        <w:t xml:space="preserve">he majority of matters in the committal stream proceed by way of a plea of guilty such that there is </w:t>
      </w:r>
      <w:r w:rsidR="007F6971">
        <w:t xml:space="preserve">limited </w:t>
      </w:r>
      <w:r w:rsidRPr="00A14281">
        <w:t xml:space="preserve">need for </w:t>
      </w:r>
      <w:r w:rsidR="00C633D0">
        <w:t xml:space="preserve">the </w:t>
      </w:r>
      <w:r w:rsidR="00701E77">
        <w:t>victim</w:t>
      </w:r>
      <w:r w:rsidR="00701E77" w:rsidRPr="00A14281">
        <w:t xml:space="preserve"> </w:t>
      </w:r>
      <w:r w:rsidRPr="00A14281">
        <w:t>to give evidence. For example, in the 2017-2018 Financial Year, the OPP recorded 68.7</w:t>
      </w:r>
      <w:r w:rsidR="005954CD">
        <w:t xml:space="preserve"> per cent</w:t>
      </w:r>
      <w:r w:rsidRPr="00A14281">
        <w:t xml:space="preserve"> of completed cases that year resolving to a guilty plea pre-trial.</w:t>
      </w:r>
      <w:r w:rsidRPr="003D4AF1">
        <w:rPr>
          <w:rStyle w:val="FootnoteReference"/>
        </w:rPr>
        <w:footnoteReference w:id="40"/>
      </w:r>
      <w:r w:rsidRPr="00A14281">
        <w:t xml:space="preserve"> </w:t>
      </w:r>
    </w:p>
    <w:p w14:paraId="028DC337" w14:textId="4CFC8557" w:rsidR="002D0923" w:rsidRDefault="002D0923" w:rsidP="002D0923">
      <w:pPr>
        <w:pStyle w:val="VLADocumentText"/>
        <w:numPr>
          <w:ilvl w:val="0"/>
          <w:numId w:val="38"/>
        </w:numPr>
      </w:pPr>
      <w:r w:rsidRPr="00D70650">
        <w:rPr>
          <w:b/>
        </w:rPr>
        <w:lastRenderedPageBreak/>
        <w:t>Plea of guilty after listed for trial</w:t>
      </w:r>
      <w:r w:rsidR="004F30EA" w:rsidRPr="004F30EA">
        <w:rPr>
          <w:i/>
        </w:rPr>
        <w:t>:</w:t>
      </w:r>
      <w:r w:rsidRPr="004F30EA">
        <w:t xml:space="preserve"> </w:t>
      </w:r>
      <w:r w:rsidR="004F30EA" w:rsidRPr="004F30EA">
        <w:t>o</w:t>
      </w:r>
      <w:r w:rsidRPr="00A14281">
        <w:t>f the remaining 30.6</w:t>
      </w:r>
      <w:r w:rsidR="005954CD">
        <w:t xml:space="preserve"> per cent</w:t>
      </w:r>
      <w:r w:rsidRPr="00A14281">
        <w:t xml:space="preserve"> (0.7</w:t>
      </w:r>
      <w:r w:rsidR="005954CD">
        <w:t xml:space="preserve"> per cent</w:t>
      </w:r>
      <w:r w:rsidRPr="00A14281">
        <w:t xml:space="preserve"> were listed as ‘Other case completion’), a further 11.7</w:t>
      </w:r>
      <w:r w:rsidR="005954CD">
        <w:t xml:space="preserve"> per cent</w:t>
      </w:r>
      <w:r w:rsidRPr="00A14281">
        <w:t xml:space="preserve"> resolved to a guilty plea after having been listed for trial</w:t>
      </w:r>
      <w:r w:rsidR="001E5CDC">
        <w:t>.</w:t>
      </w:r>
      <w:r w:rsidRPr="00A14281">
        <w:rPr>
          <w:rStyle w:val="FootnoteReference"/>
        </w:rPr>
        <w:footnoteReference w:id="41"/>
      </w:r>
    </w:p>
    <w:p w14:paraId="1386BA99" w14:textId="0E943725" w:rsidR="002D0923" w:rsidRDefault="002D0923" w:rsidP="002D0923">
      <w:pPr>
        <w:pStyle w:val="VLADocumentText"/>
        <w:numPr>
          <w:ilvl w:val="0"/>
          <w:numId w:val="38"/>
        </w:numPr>
      </w:pPr>
      <w:r w:rsidRPr="00D70650">
        <w:rPr>
          <w:b/>
        </w:rPr>
        <w:t>Finalised at trial</w:t>
      </w:r>
      <w:r w:rsidR="004F30EA">
        <w:rPr>
          <w:i/>
        </w:rPr>
        <w:t>:</w:t>
      </w:r>
      <w:r w:rsidRPr="004F30EA">
        <w:t xml:space="preserve"> </w:t>
      </w:r>
      <w:r w:rsidR="004F30EA">
        <w:t>o</w:t>
      </w:r>
      <w:r w:rsidRPr="004F30EA">
        <w:t>nly</w:t>
      </w:r>
      <w:r w:rsidRPr="00A14281">
        <w:t xml:space="preserve"> 18.9</w:t>
      </w:r>
      <w:r w:rsidR="005954CD">
        <w:t xml:space="preserve"> per cent</w:t>
      </w:r>
      <w:r w:rsidRPr="00A14281">
        <w:t xml:space="preserve"> of cases completed that year finalised by way of trial. </w:t>
      </w:r>
    </w:p>
    <w:p w14:paraId="540EE2F7" w14:textId="048B9DA0" w:rsidR="002D0923" w:rsidRPr="00A14281" w:rsidRDefault="002D0923" w:rsidP="002D0923">
      <w:pPr>
        <w:pStyle w:val="VLADocumentText"/>
      </w:pPr>
      <w:r w:rsidRPr="00A14281">
        <w:t xml:space="preserve">This </w:t>
      </w:r>
      <w:r>
        <w:t>data</w:t>
      </w:r>
      <w:r w:rsidRPr="00A14281">
        <w:t xml:space="preserve"> demonstrates that in the vast majority of completed cases that year (80.4</w:t>
      </w:r>
      <w:r w:rsidR="005954CD">
        <w:t xml:space="preserve"> per cent</w:t>
      </w:r>
      <w:r w:rsidRPr="00A14281">
        <w:t>)</w:t>
      </w:r>
      <w:r w:rsidR="00CE46CA">
        <w:t>,</w:t>
      </w:r>
      <w:r w:rsidRPr="00A14281">
        <w:t xml:space="preserve"> either no witness was required to be called </w:t>
      </w:r>
      <w:r w:rsidR="00CE46CA">
        <w:t xml:space="preserve">at all, </w:t>
      </w:r>
      <w:r w:rsidRPr="00A14281">
        <w:t>or witnesses were only required once (assuming that each of the 11.7</w:t>
      </w:r>
      <w:r w:rsidR="005954CD">
        <w:t xml:space="preserve"> per cent</w:t>
      </w:r>
      <w:r w:rsidRPr="00A14281">
        <w:t xml:space="preserve"> of cases which resolved after a trial was listed involved a committal). </w:t>
      </w:r>
      <w:r w:rsidR="00CE46CA">
        <w:t xml:space="preserve">This indicates that only a very small number of victims who give evidence at committal will </w:t>
      </w:r>
      <w:r w:rsidR="008D43F0">
        <w:t xml:space="preserve">also </w:t>
      </w:r>
      <w:r w:rsidR="00CE46CA">
        <w:t xml:space="preserve">be required to give evidence in a trial. </w:t>
      </w:r>
      <w:r w:rsidRPr="00A14281">
        <w:t xml:space="preserve">There are also cases where committals are conducted with only professional witnesses such as forensic scientists, pathologists and police officers, who are trained to give evidence and not likely to experience distress </w:t>
      </w:r>
      <w:r w:rsidR="0005040F">
        <w:t>from</w:t>
      </w:r>
      <w:r w:rsidR="000447A5">
        <w:t xml:space="preserve"> a cross-examination</w:t>
      </w:r>
      <w:r w:rsidRPr="00A14281">
        <w:t xml:space="preserve">. </w:t>
      </w:r>
    </w:p>
    <w:p w14:paraId="0A1D957A" w14:textId="7B47F4BF" w:rsidR="002612F9" w:rsidRDefault="002612F9" w:rsidP="002612F9">
      <w:pPr>
        <w:pStyle w:val="Heading3"/>
      </w:pPr>
      <w:bookmarkStart w:id="76" w:name="_Toc17155099"/>
      <w:r>
        <w:t>2.</w:t>
      </w:r>
      <w:r w:rsidDel="002368D7">
        <w:t xml:space="preserve"> </w:t>
      </w:r>
      <w:r w:rsidR="006D426F">
        <w:t xml:space="preserve">The committal process can be </w:t>
      </w:r>
      <w:r w:rsidR="00E351C2">
        <w:t>positive,</w:t>
      </w:r>
      <w:r w:rsidR="006D426F">
        <w:t xml:space="preserve"> and cross-examination can be well-managed to minimise distress</w:t>
      </w:r>
      <w:bookmarkEnd w:id="76"/>
      <w:r w:rsidR="004710A5">
        <w:t xml:space="preserve"> </w:t>
      </w:r>
    </w:p>
    <w:p w14:paraId="019ED326" w14:textId="301F29F5" w:rsidR="002612F9" w:rsidRDefault="002612F9" w:rsidP="002612F9">
      <w:pPr>
        <w:pStyle w:val="VLADocumentText"/>
      </w:pPr>
      <w:r w:rsidRPr="00A14281">
        <w:t xml:space="preserve">The Issues Paper highlights that cross-examination </w:t>
      </w:r>
      <w:r w:rsidR="00EF2133">
        <w:t xml:space="preserve">can be </w:t>
      </w:r>
      <w:r w:rsidRPr="00A14281">
        <w:t>traumatic and intimidating.</w:t>
      </w:r>
      <w:r w:rsidRPr="00A14281">
        <w:rPr>
          <w:rStyle w:val="FootnoteReference"/>
        </w:rPr>
        <w:footnoteReference w:id="42"/>
      </w:r>
      <w:r w:rsidRPr="00A14281">
        <w:t xml:space="preserve"> VLA </w:t>
      </w:r>
      <w:r>
        <w:t xml:space="preserve">acknowledges </w:t>
      </w:r>
      <w:r w:rsidRPr="00A14281">
        <w:t xml:space="preserve">there is inherent anxiety in having to give evidence in the criminal process, and that </w:t>
      </w:r>
      <w:r>
        <w:t xml:space="preserve">witnesses, </w:t>
      </w:r>
      <w:r w:rsidRPr="00A14281">
        <w:t>especially vulnerable witnesses</w:t>
      </w:r>
      <w:r>
        <w:t>,</w:t>
      </w:r>
      <w:r w:rsidRPr="00A14281">
        <w:t xml:space="preserve"> find the experience stressful.</w:t>
      </w:r>
      <w:r w:rsidR="004710A5">
        <w:t xml:space="preserve"> On the other hand, the VLRC review of </w:t>
      </w:r>
      <w:r w:rsidR="004751A2">
        <w:t>the role of v</w:t>
      </w:r>
      <w:r w:rsidR="004710A5">
        <w:t xml:space="preserve">ictims </w:t>
      </w:r>
      <w:r w:rsidR="004751A2">
        <w:t xml:space="preserve">in the criminal trial process </w:t>
      </w:r>
      <w:r w:rsidR="003B37DF">
        <w:t xml:space="preserve">found that </w:t>
      </w:r>
      <w:r w:rsidR="00AF0C7C">
        <w:t>some of the victims they spoke to found cross-examination at committal a positive experience</w:t>
      </w:r>
      <w:r w:rsidR="004751A2">
        <w:t xml:space="preserve">: </w:t>
      </w:r>
    </w:p>
    <w:p w14:paraId="52DAC79F" w14:textId="07D101AF" w:rsidR="001A0562" w:rsidRDefault="003B37DF" w:rsidP="00AF0C7C">
      <w:pPr>
        <w:pStyle w:val="VLAquotation"/>
      </w:pPr>
      <w:r>
        <w:t>Some victims found being cross-examined at the committal hearing particularly distressing. Other victims consulted by the Commission found giving evidence at the committal to be positive—it was an opportunity to ‘practise’ for the trial and to be heard by a court</w:t>
      </w:r>
      <w:r w:rsidR="00AF0C7C">
        <w:t>.</w:t>
      </w:r>
      <w:bookmarkStart w:id="77" w:name="_Ref17104629"/>
      <w:r w:rsidR="001A0562">
        <w:rPr>
          <w:rStyle w:val="FootnoteReference"/>
        </w:rPr>
        <w:footnoteReference w:id="43"/>
      </w:r>
      <w:bookmarkEnd w:id="77"/>
    </w:p>
    <w:p w14:paraId="472A0AA0" w14:textId="75060D15" w:rsidR="00322FA2" w:rsidRDefault="00322FA2" w:rsidP="00322FA2">
      <w:pPr>
        <w:pStyle w:val="VLADocumentText"/>
      </w:pPr>
      <w:r>
        <w:t>T</w:t>
      </w:r>
      <w:r w:rsidR="00B96C1E" w:rsidRPr="00322FA2">
        <w:t>h</w:t>
      </w:r>
      <w:bookmarkStart w:id="78" w:name="_Ref17120073"/>
      <w:r w:rsidR="00B96C1E" w:rsidRPr="00322FA2">
        <w:t>e</w:t>
      </w:r>
      <w:bookmarkEnd w:id="78"/>
      <w:r w:rsidR="00B96C1E" w:rsidRPr="00322FA2">
        <w:t xml:space="preserve"> </w:t>
      </w:r>
      <w:bookmarkStart w:id="79" w:name="_Ref17119550"/>
      <w:r w:rsidR="00B96C1E" w:rsidRPr="00322FA2">
        <w:t>p</w:t>
      </w:r>
      <w:bookmarkEnd w:id="79"/>
      <w:r w:rsidR="00B96C1E" w:rsidRPr="00322FA2">
        <w:t>roblems associated with cross-examination at committal could be addressed by magistrates applying the existing legislative tests robustly and consistently, both in granting leave to cross-examine at committal mention</w:t>
      </w:r>
      <w:r w:rsidR="006248AD">
        <w:t>,</w:t>
      </w:r>
      <w:r w:rsidR="00B96C1E" w:rsidRPr="00322FA2">
        <w:t xml:space="preserve"> and disallowing </w:t>
      </w:r>
      <w:r w:rsidR="006248AD">
        <w:t xml:space="preserve">questions that are outside scope, </w:t>
      </w:r>
      <w:r w:rsidR="00B96C1E" w:rsidRPr="00322FA2">
        <w:t>inappropriate, irrelevant or oppressive.</w:t>
      </w:r>
    </w:p>
    <w:p w14:paraId="1792122A" w14:textId="4F886064" w:rsidR="00B96C1E" w:rsidRPr="00322FA2" w:rsidRDefault="00322FA2" w:rsidP="00322FA2">
      <w:pPr>
        <w:pStyle w:val="VLADocumentText"/>
      </w:pPr>
      <w:r>
        <w:t xml:space="preserve">In our submission, there are existing protections built in to committal proceedings, which are not </w:t>
      </w:r>
      <w:r w:rsidR="008A7CAF">
        <w:t xml:space="preserve">always </w:t>
      </w:r>
      <w:r>
        <w:t xml:space="preserve">sufficiently or appropriately employed. </w:t>
      </w:r>
      <w:r w:rsidR="00B96C1E">
        <w:t>For example, a</w:t>
      </w:r>
      <w:r w:rsidR="002612F9" w:rsidRPr="00A14281">
        <w:t>t committal, the prosecution has the ability to object to questioning upon which leave has not been sought, as well as improper questions.</w:t>
      </w:r>
      <w:r w:rsidR="002612F9" w:rsidRPr="00A14281">
        <w:rPr>
          <w:rStyle w:val="FootnoteReference"/>
        </w:rPr>
        <w:footnoteReference w:id="44"/>
      </w:r>
      <w:r w:rsidR="002612F9" w:rsidRPr="00A14281">
        <w:t xml:space="preserve"> Our experience is that this mechanism is rarely exercised by the prosecution. </w:t>
      </w:r>
    </w:p>
    <w:p w14:paraId="5AF50A83" w14:textId="1E6C4487" w:rsidR="00624A52" w:rsidRDefault="002612F9" w:rsidP="00624A52">
      <w:pPr>
        <w:pStyle w:val="VLADocumentText"/>
      </w:pPr>
      <w:r w:rsidRPr="00A14281">
        <w:t xml:space="preserve">Moreover, the presiding magistrate can of their own motion similarly restrict questioning and disallow certain lines of </w:t>
      </w:r>
      <w:r w:rsidRPr="00322FA2">
        <w:t>cross</w:t>
      </w:r>
      <w:r w:rsidRPr="00A14281">
        <w:t xml:space="preserve">-examination. </w:t>
      </w:r>
      <w:r w:rsidR="00624A52" w:rsidRPr="00322FA2">
        <w:t xml:space="preserve">When properly managed by a suitably experienced magistrate, cross-examination is confined to relevant and justified matters, and does not need to be oppressive or intimidating to be effective. </w:t>
      </w:r>
      <w:r w:rsidRPr="00A14281">
        <w:t xml:space="preserve">The exercise of this authority in a firm and fair manner would alleviate some of the concerns of committals causing trauma to </w:t>
      </w:r>
      <w:r>
        <w:t>complainants</w:t>
      </w:r>
      <w:r w:rsidR="00775F95">
        <w:t xml:space="preserve"> and other </w:t>
      </w:r>
      <w:r w:rsidR="001D5DAC">
        <w:t>witnesses</w:t>
      </w:r>
      <w:r w:rsidRPr="00A14281">
        <w:t xml:space="preserve">. </w:t>
      </w:r>
    </w:p>
    <w:p w14:paraId="1B158736" w14:textId="1D9B8C73" w:rsidR="00322FA2" w:rsidRDefault="00B96C1E" w:rsidP="002612F9">
      <w:pPr>
        <w:pStyle w:val="VLADocumentText"/>
      </w:pPr>
      <w:r w:rsidRPr="00A14281">
        <w:lastRenderedPageBreak/>
        <w:t xml:space="preserve">It is our recommendation that committal proceedings become a specialised jurisdiction within the Magistrates’ Court, comprised of magistrates with criminal trial experience and the expertise to control and filter </w:t>
      </w:r>
      <w:r w:rsidR="008A7CAF">
        <w:t>cross-examination</w:t>
      </w:r>
      <w:r w:rsidRPr="00A14281">
        <w:t xml:space="preserve">. </w:t>
      </w:r>
      <w:r w:rsidR="008A7CAF">
        <w:t>S</w:t>
      </w:r>
      <w:r w:rsidR="00322FA2">
        <w:t xml:space="preserve">pecialisation </w:t>
      </w:r>
      <w:r w:rsidR="008A7CAF">
        <w:t xml:space="preserve">would be </w:t>
      </w:r>
      <w:r w:rsidRPr="00A14281">
        <w:t>a greater issue in regional courts where there are a limited number of magistrates to hear matters</w:t>
      </w:r>
      <w:r w:rsidR="008A7CAF">
        <w:t>, particularly i</w:t>
      </w:r>
      <w:r w:rsidR="00587BB2">
        <w:t>n the</w:t>
      </w:r>
      <w:r w:rsidR="002612F9">
        <w:t xml:space="preserve"> smaller </w:t>
      </w:r>
      <w:r w:rsidR="002612F9" w:rsidRPr="006747CD">
        <w:t xml:space="preserve">regional </w:t>
      </w:r>
      <w:r w:rsidR="002612F9">
        <w:t>c</w:t>
      </w:r>
      <w:r w:rsidR="002612F9" w:rsidRPr="006747CD">
        <w:t>ourts</w:t>
      </w:r>
      <w:r w:rsidR="002612F9">
        <w:t xml:space="preserve"> such as Warrnambool</w:t>
      </w:r>
      <w:r w:rsidR="002612F9" w:rsidRPr="006747CD">
        <w:t>, Horsham</w:t>
      </w:r>
      <w:r w:rsidR="002612F9">
        <w:t xml:space="preserve"> and</w:t>
      </w:r>
      <w:r w:rsidR="002612F9" w:rsidRPr="006747CD">
        <w:t xml:space="preserve"> Mildura</w:t>
      </w:r>
      <w:r w:rsidR="002612F9">
        <w:t xml:space="preserve">, </w:t>
      </w:r>
      <w:r w:rsidR="008A7CAF">
        <w:t xml:space="preserve">where </w:t>
      </w:r>
      <w:r w:rsidR="00587BB2">
        <w:t xml:space="preserve">there is </w:t>
      </w:r>
      <w:r w:rsidR="002612F9" w:rsidRPr="006747CD">
        <w:t xml:space="preserve">a single </w:t>
      </w:r>
      <w:r w:rsidR="002612F9">
        <w:t>magistrate</w:t>
      </w:r>
      <w:r w:rsidR="002612F9" w:rsidRPr="006747CD">
        <w:t>.</w:t>
      </w:r>
    </w:p>
    <w:p w14:paraId="1E5D0F19" w14:textId="23F0DB7D" w:rsidR="002612F9" w:rsidRDefault="00322FA2" w:rsidP="002612F9">
      <w:pPr>
        <w:pStyle w:val="VLADocumentText"/>
      </w:pPr>
      <w:r>
        <w:t>F</w:t>
      </w:r>
      <w:r w:rsidR="002612F9">
        <w:t>urther consideration needs to be given to appropriately training or rotating regional staff. One option may be to videolink regional committal mentions into Melbourne to be presided over by specialist committal mention magistrates. This would also have the advantage of freeing up scarce court time in busy regional courts to deal with the array of summary, family violence and other matters.</w:t>
      </w:r>
    </w:p>
    <w:p w14:paraId="7318E734" w14:textId="0899AAB1" w:rsidR="002612F9" w:rsidRPr="000E5B53" w:rsidRDefault="002612F9" w:rsidP="002612F9">
      <w:pPr>
        <w:pStyle w:val="VLADocumentText"/>
      </w:pPr>
      <w:r>
        <w:t>We also support j</w:t>
      </w:r>
      <w:r w:rsidRPr="00F02FC6">
        <w:t xml:space="preserve">udicial officers and defence lawyers </w:t>
      </w:r>
      <w:r>
        <w:t>being required to</w:t>
      </w:r>
      <w:r w:rsidRPr="00F02FC6">
        <w:t xml:space="preserve"> undertake training on </w:t>
      </w:r>
      <w:r>
        <w:t xml:space="preserve">the </w:t>
      </w:r>
      <w:r w:rsidRPr="00F02FC6">
        <w:t>questioning of complainants and witnesses</w:t>
      </w:r>
      <w:r w:rsidR="00775F95">
        <w:t>,</w:t>
      </w:r>
      <w:r w:rsidR="004F0AEF">
        <w:t xml:space="preserve"> especially vulnerable ones</w:t>
      </w:r>
      <w:r w:rsidRPr="00F02FC6">
        <w:t>.</w:t>
      </w:r>
      <w:r>
        <w:t xml:space="preserve"> </w:t>
      </w:r>
      <w:r w:rsidRPr="00F02FC6">
        <w:t>The recent publication of the Judicial College of Victoria provides guidance in this respect.</w:t>
      </w:r>
      <w:r>
        <w:rPr>
          <w:rStyle w:val="FootnoteReference"/>
          <w:rFonts w:ascii="Calibri" w:hAnsi="Calibri" w:cs="Calibri"/>
          <w:lang w:eastAsia="en-AU"/>
        </w:rPr>
        <w:footnoteReference w:id="45"/>
      </w:r>
    </w:p>
    <w:p w14:paraId="5C4A1C18" w14:textId="7367E40D" w:rsidR="002612F9" w:rsidRDefault="002612F9" w:rsidP="002612F9">
      <w:pPr>
        <w:pStyle w:val="Heading3"/>
      </w:pPr>
      <w:bookmarkStart w:id="80" w:name="_Toc17050687"/>
      <w:bookmarkStart w:id="81" w:name="_Toc17155100"/>
      <w:r>
        <w:t xml:space="preserve">3. </w:t>
      </w:r>
      <w:r w:rsidR="009166DD">
        <w:t>Supportin</w:t>
      </w:r>
      <w:r w:rsidR="001223D9">
        <w:t>g</w:t>
      </w:r>
      <w:r w:rsidR="009166DD">
        <w:t xml:space="preserve"> </w:t>
      </w:r>
      <w:r>
        <w:t>victims to tell their story at the committal stage</w:t>
      </w:r>
      <w:bookmarkEnd w:id="80"/>
      <w:bookmarkEnd w:id="81"/>
    </w:p>
    <w:p w14:paraId="1F83D37A" w14:textId="191065F1" w:rsidR="00587BB2" w:rsidRDefault="00797FA0" w:rsidP="00587BB2">
      <w:pPr>
        <w:spacing w:before="120" w:line="280" w:lineRule="atLeast"/>
        <w:jc w:val="both"/>
        <w:rPr>
          <w:rFonts w:cstheme="minorBidi"/>
        </w:rPr>
      </w:pPr>
      <w:r>
        <w:t xml:space="preserve">Committal proceedings have the potential to provide an opportunity for victims to better participate in the criminal proceeding. </w:t>
      </w:r>
      <w:r w:rsidR="002C519B">
        <w:t xml:space="preserve">We recommend that complainants and witnesses </w:t>
      </w:r>
      <w:r w:rsidR="00277A7D">
        <w:t xml:space="preserve">be given the option </w:t>
      </w:r>
      <w:r w:rsidR="002C519B">
        <w:t>to have their statement read aloud</w:t>
      </w:r>
      <w:r w:rsidR="001223D9">
        <w:t xml:space="preserve"> in court,</w:t>
      </w:r>
      <w:r w:rsidR="002C519B">
        <w:t xml:space="preserve"> prior to any cross examination on that statement. </w:t>
      </w:r>
      <w:r w:rsidR="00587BB2" w:rsidRPr="00A14281">
        <w:t xml:space="preserve">The VLRC’s </w:t>
      </w:r>
      <w:r w:rsidR="00693ED3">
        <w:t xml:space="preserve">Report on </w:t>
      </w:r>
      <w:r w:rsidR="00693ED3" w:rsidRPr="00A14281">
        <w:t>the role of victims in the criminal trial process</w:t>
      </w:r>
      <w:r w:rsidR="00587BB2" w:rsidRPr="00A14281">
        <w:t xml:space="preserve"> </w:t>
      </w:r>
      <w:r w:rsidR="004D6726">
        <w:t>included</w:t>
      </w:r>
      <w:r w:rsidR="004D6726" w:rsidRPr="00A14281">
        <w:t xml:space="preserve"> </w:t>
      </w:r>
      <w:r w:rsidR="00587BB2" w:rsidRPr="00A14281">
        <w:t xml:space="preserve">criticism of committals </w:t>
      </w:r>
      <w:r w:rsidR="004D6726">
        <w:t xml:space="preserve">due to </w:t>
      </w:r>
      <w:r w:rsidR="00587BB2">
        <w:t>victim</w:t>
      </w:r>
      <w:r w:rsidR="00587BB2" w:rsidRPr="00A14281">
        <w:t xml:space="preserve">s </w:t>
      </w:r>
      <w:r w:rsidR="004D6726">
        <w:t>reporting that</w:t>
      </w:r>
      <w:r w:rsidR="00587BB2" w:rsidRPr="00A14281">
        <w:t xml:space="preserve"> they were not able to tell their story through evidence-in-chief</w:t>
      </w:r>
      <w:r w:rsidR="00716971">
        <w:t>, and</w:t>
      </w:r>
      <w:r w:rsidR="004D6726">
        <w:t xml:space="preserve"> </w:t>
      </w:r>
      <w:r w:rsidR="00587BB2" w:rsidRPr="00A14281">
        <w:t xml:space="preserve">their statement </w:t>
      </w:r>
      <w:r w:rsidR="004D6726">
        <w:t xml:space="preserve">was </w:t>
      </w:r>
      <w:r w:rsidR="00587BB2" w:rsidRPr="00A14281">
        <w:t>simply tendered to the magistrate</w:t>
      </w:r>
      <w:r w:rsidR="00D96F0E">
        <w:t>.</w:t>
      </w:r>
      <w:r w:rsidR="00693ED3" w:rsidRPr="00A14281">
        <w:rPr>
          <w:rStyle w:val="FootnoteReference"/>
        </w:rPr>
        <w:footnoteReference w:id="46"/>
      </w:r>
      <w:r w:rsidR="00B5654F">
        <w:t xml:space="preserve"> </w:t>
      </w:r>
    </w:p>
    <w:p w14:paraId="4DDA3AF5" w14:textId="25238B78" w:rsidR="00587BB2" w:rsidRDefault="00587BB2" w:rsidP="002612F9">
      <w:pPr>
        <w:pStyle w:val="VLADocumentText"/>
      </w:pPr>
      <w:r>
        <w:t>The CIJ research of victims’ experience highlight</w:t>
      </w:r>
      <w:r w:rsidR="007E0FF8">
        <w:t>s</w:t>
      </w:r>
      <w:r>
        <w:t xml:space="preserve"> </w:t>
      </w:r>
      <w:r w:rsidRPr="00102EB9">
        <w:t>the importance of victims having a voice in court</w:t>
      </w:r>
      <w:r>
        <w:t>.</w:t>
      </w:r>
      <w:r>
        <w:rPr>
          <w:rStyle w:val="FootnoteReference"/>
        </w:rPr>
        <w:footnoteReference w:id="47"/>
      </w:r>
      <w:r w:rsidRPr="00102EB9">
        <w:t xml:space="preserve"> </w:t>
      </w:r>
      <w:r w:rsidR="002612F9">
        <w:t xml:space="preserve">To facilitate this, we </w:t>
      </w:r>
      <w:r w:rsidR="00FC6839">
        <w:t xml:space="preserve">recommend </w:t>
      </w:r>
      <w:r w:rsidR="002612F9">
        <w:t xml:space="preserve">that complainants </w:t>
      </w:r>
      <w:r w:rsidR="00A564DB">
        <w:t>and</w:t>
      </w:r>
      <w:r w:rsidR="007B0ADF">
        <w:t xml:space="preserve"> </w:t>
      </w:r>
      <w:r w:rsidR="00FC6839">
        <w:t xml:space="preserve">witnesses </w:t>
      </w:r>
      <w:r w:rsidR="002612F9">
        <w:t>be given the option of electing to have their statement read aloud before the cross-</w:t>
      </w:r>
      <w:r w:rsidR="002612F9" w:rsidRPr="00F02FC6">
        <w:t>examination, so the</w:t>
      </w:r>
      <w:r w:rsidR="002612F9">
        <w:t>y feel that their</w:t>
      </w:r>
      <w:r w:rsidR="002612F9" w:rsidRPr="00F02FC6">
        <w:t xml:space="preserve"> story is </w:t>
      </w:r>
      <w:r w:rsidR="002612F9">
        <w:t>shared</w:t>
      </w:r>
      <w:r w:rsidR="002612F9" w:rsidRPr="00F02FC6">
        <w:t xml:space="preserve"> at the committal. </w:t>
      </w:r>
    </w:p>
    <w:p w14:paraId="42F93E55" w14:textId="35E9D6C2" w:rsidR="002612F9" w:rsidRPr="00F02FC6" w:rsidRDefault="00D96F0E" w:rsidP="002612F9">
      <w:pPr>
        <w:pStyle w:val="VLADocumentText"/>
      </w:pPr>
      <w:r>
        <w:t xml:space="preserve">This is the current practice in the Coroner’s Court. In coronial proceedings, a </w:t>
      </w:r>
      <w:r w:rsidR="002612F9">
        <w:t xml:space="preserve">witness statement is read out loud by the Coroner’s clerk or counsel assisting the Coroner. The witness is asked to confirm that it is their statement and then given an opportunity to make any changes. The witness may then be asked questions which expand on what they have said in their statement. Lawyers representing any other interested parties may then ask the witness questions. </w:t>
      </w:r>
    </w:p>
    <w:p w14:paraId="3A2D3EAE" w14:textId="77777777" w:rsidR="00587BB2" w:rsidRDefault="002612F9" w:rsidP="002612F9">
      <w:pPr>
        <w:pStyle w:val="VLADocumentText"/>
      </w:pPr>
      <w:r>
        <w:t xml:space="preserve">There are a number of difficulties with the current approach of not giving evidence in chief. First, the witness is subject to cross-examination immediately upon entering the witness box. In practical terms, examination in chief is helpful in allowing witnesses to become comfortable, or at least familiar with, the process of sitting in the witness box and answering questions before facing cross-examination. </w:t>
      </w:r>
    </w:p>
    <w:p w14:paraId="2DD77BA4" w14:textId="5FAA47EB" w:rsidR="007E0FF8" w:rsidRDefault="002612F9" w:rsidP="002612F9">
      <w:pPr>
        <w:pStyle w:val="VLADocumentText"/>
      </w:pPr>
      <w:r>
        <w:t xml:space="preserve">Under the current process, the witness is not afforded an opportunity in the court room setting to refresh his or her memory as to the content of the witness statement. While witnesses will usually be advised to read their statement before they come to </w:t>
      </w:r>
      <w:r w:rsidR="00B54E49">
        <w:t>c</w:t>
      </w:r>
      <w:r>
        <w:t xml:space="preserve">ourt, anecdotal evidence suggests that this does not always occur. </w:t>
      </w:r>
    </w:p>
    <w:p w14:paraId="0A168B10" w14:textId="3287F120" w:rsidR="002612F9" w:rsidRDefault="0090419B" w:rsidP="0090419B">
      <w:pPr>
        <w:pStyle w:val="VLADocumentText"/>
      </w:pPr>
      <w:r>
        <w:t xml:space="preserve">Enabling </w:t>
      </w:r>
      <w:r w:rsidR="002612F9">
        <w:t xml:space="preserve">the witness statement to be read out loud in </w:t>
      </w:r>
      <w:r w:rsidR="00B54E49">
        <w:t>c</w:t>
      </w:r>
      <w:r w:rsidR="002612F9">
        <w:t>ourt allows the witness to hear the contents of his or her evidence</w:t>
      </w:r>
      <w:r>
        <w:t>-</w:t>
      </w:r>
      <w:r w:rsidR="002612F9">
        <w:t>in</w:t>
      </w:r>
      <w:r>
        <w:t>-</w:t>
      </w:r>
      <w:r w:rsidR="002612F9">
        <w:t xml:space="preserve">chief immediately prior to cross-examination. </w:t>
      </w:r>
      <w:r>
        <w:t xml:space="preserve">For example, </w:t>
      </w:r>
      <w:r>
        <w:lastRenderedPageBreak/>
        <w:t>t</w:t>
      </w:r>
      <w:r w:rsidR="002612F9">
        <w:t xml:space="preserve">he focus </w:t>
      </w:r>
      <w:r w:rsidR="00431BAD">
        <w:t xml:space="preserve">in cross-examination </w:t>
      </w:r>
      <w:r w:rsidR="002612F9">
        <w:t xml:space="preserve">may be on any perceived or actual inconsistencies between what the witness says in the witness box and what was set out in the written statement, rather than on the truthfulness of the witness’s recollection of the relevant events. </w:t>
      </w:r>
      <w:r>
        <w:t>H</w:t>
      </w:r>
      <w:r w:rsidR="003B79D2">
        <w:t xml:space="preserve">aving their </w:t>
      </w:r>
      <w:r w:rsidR="002612F9">
        <w:t>statement read out loud in court before cross-examination commences</w:t>
      </w:r>
      <w:r w:rsidR="003B79D2">
        <w:t xml:space="preserve"> would </w:t>
      </w:r>
      <w:r w:rsidR="002612F9">
        <w:t xml:space="preserve">allow </w:t>
      </w:r>
      <w:r>
        <w:t xml:space="preserve">witness </w:t>
      </w:r>
      <w:r w:rsidR="002612F9">
        <w:t>to refresh their memory of their statement</w:t>
      </w:r>
      <w:r w:rsidR="00476F2D">
        <w:t>,</w:t>
      </w:r>
      <w:r w:rsidR="002612F9">
        <w:t xml:space="preserve"> and assist in </w:t>
      </w:r>
      <w:r w:rsidR="00476F2D">
        <w:t xml:space="preserve">helping the witness to give </w:t>
      </w:r>
      <w:r w:rsidR="002612F9">
        <w:t>the</w:t>
      </w:r>
      <w:r w:rsidR="00476F2D">
        <w:t>ir</w:t>
      </w:r>
      <w:r w:rsidR="002612F9">
        <w:t xml:space="preserve"> best and most accurate evidence.</w:t>
      </w:r>
    </w:p>
    <w:p w14:paraId="5C70B0CC" w14:textId="77777777" w:rsidR="00B54E49" w:rsidRDefault="00B54E49" w:rsidP="002612F9">
      <w:pPr>
        <w:pStyle w:val="VLADocumentText"/>
      </w:pPr>
      <w:r>
        <w:t xml:space="preserve">In addition, a witness who is unfamiliar with the committal process may also be confused as to whether the magistrate is familiar with the contents of their statement. </w:t>
      </w:r>
    </w:p>
    <w:p w14:paraId="1DE1A5B4" w14:textId="243A3577" w:rsidR="002612F9" w:rsidRDefault="002612F9" w:rsidP="002612F9">
      <w:pPr>
        <w:pStyle w:val="VLADocumentText"/>
      </w:pPr>
      <w:r>
        <w:t xml:space="preserve">Finally, the current procedure can make it difficult for the public to follow the committal proceeding and particularly, to appreciate the significance of any cross-examination, in circumstances where they do not have copies of the relevant witness statements. This can be relevant to the public’s confidence in the criminal justice system. </w:t>
      </w:r>
    </w:p>
    <w:p w14:paraId="749EA967" w14:textId="4760A8B2" w:rsidR="002612F9" w:rsidRDefault="002612F9" w:rsidP="002612F9">
      <w:pPr>
        <w:pStyle w:val="VLADocumentText"/>
      </w:pPr>
      <w:r>
        <w:t>Witness statements were removed from committals in 1986, at a time when a majority of prosecution witnesses were cross-examined by the defence</w:t>
      </w:r>
      <w:r w:rsidR="007D6C37">
        <w:t xml:space="preserve"> and reading every statement was time consuming</w:t>
      </w:r>
      <w:r>
        <w:t>.</w:t>
      </w:r>
      <w:r>
        <w:rPr>
          <w:rStyle w:val="FootnoteReference"/>
        </w:rPr>
        <w:footnoteReference w:id="48"/>
      </w:r>
      <w:r>
        <w:t xml:space="preserve"> Under the current system, </w:t>
      </w:r>
      <w:r w:rsidR="007D6C37">
        <w:t xml:space="preserve">significantly </w:t>
      </w:r>
      <w:r>
        <w:t xml:space="preserve">fewer witnesses are called and committal hearings have become shorter. In most cases, the reading of the statement is likely to take only a few minutes. In light of the small number of witnesses called for the purpose of cross-examination, and the short amount of time required to read out a typical statement, this change would not significantly add to the length of the committal hearing. </w:t>
      </w:r>
    </w:p>
    <w:p w14:paraId="41B1CB62" w14:textId="6821CBBA" w:rsidR="00C32225" w:rsidRDefault="002612F9" w:rsidP="00633B81">
      <w:pPr>
        <w:pStyle w:val="VLADocumentText"/>
      </w:pPr>
      <w:r>
        <w:t>Some witnesses may not elect to have their statement read aloud, and i</w:t>
      </w:r>
      <w:r w:rsidRPr="00036C6D">
        <w:t>t may not be necessary for such a process to be available to a</w:t>
      </w:r>
      <w:r>
        <w:t xml:space="preserve">ll witnesses. </w:t>
      </w:r>
      <w:r w:rsidRPr="00036C6D">
        <w:t>For instance, it may not be necessary or appropriate</w:t>
      </w:r>
      <w:r>
        <w:t xml:space="preserve"> where a witness is experienced in giving evidence</w:t>
      </w:r>
      <w:r w:rsidR="002E1352">
        <w:t>,</w:t>
      </w:r>
      <w:r>
        <w:t xml:space="preserve"> such as informants, police officers and expert witnesses. </w:t>
      </w:r>
    </w:p>
    <w:p w14:paraId="1D00CEC5" w14:textId="000553BB" w:rsidR="005B662A" w:rsidRDefault="002612F9" w:rsidP="005B662A">
      <w:pPr>
        <w:pStyle w:val="Heading3"/>
      </w:pPr>
      <w:bookmarkStart w:id="82" w:name="_Toc17050688"/>
      <w:bookmarkStart w:id="83" w:name="_Toc17155101"/>
      <w:r>
        <w:t xml:space="preserve">4. </w:t>
      </w:r>
      <w:r w:rsidR="005B662A">
        <w:t xml:space="preserve">Information and assistance </w:t>
      </w:r>
      <w:r w:rsidR="00E74B1F">
        <w:t>provided to</w:t>
      </w:r>
      <w:r w:rsidR="005B662A">
        <w:t xml:space="preserve"> victims</w:t>
      </w:r>
      <w:bookmarkEnd w:id="82"/>
      <w:r w:rsidR="00E74B1F">
        <w:t xml:space="preserve"> can improve their experience</w:t>
      </w:r>
      <w:bookmarkEnd w:id="83"/>
      <w:r w:rsidR="00E74B1F">
        <w:t xml:space="preserve"> </w:t>
      </w:r>
    </w:p>
    <w:p w14:paraId="44B4875F" w14:textId="77777777" w:rsidR="00CC33B3" w:rsidRDefault="00CC33B3" w:rsidP="00CC33B3">
      <w:pPr>
        <w:pStyle w:val="VLADocumentText"/>
      </w:pPr>
      <w:r>
        <w:t xml:space="preserve">VLA supports measures that will increase victim understanding of the criminal justice process, including these ideas to increase understanding and manage expectations of the committal process. </w:t>
      </w:r>
    </w:p>
    <w:p w14:paraId="159C3218" w14:textId="5F1B158C" w:rsidR="005B662A" w:rsidRDefault="002612F9" w:rsidP="005B662A">
      <w:pPr>
        <w:pStyle w:val="VLADocumentText"/>
        <w:rPr>
          <w:rFonts w:cstheme="minorBidi"/>
        </w:rPr>
      </w:pPr>
      <w:r w:rsidRPr="00A14281">
        <w:t>The Issues Paper highlights that ‘long delays’, complex processes, and feeling ‘almost incidental’ to proceedings can cause stress and anxiety</w:t>
      </w:r>
      <w:r>
        <w:t>.</w:t>
      </w:r>
      <w:r w:rsidRPr="00A14281">
        <w:rPr>
          <w:rStyle w:val="FootnoteReference"/>
        </w:rPr>
        <w:footnoteReference w:id="49"/>
      </w:r>
      <w:r w:rsidRPr="00A14281">
        <w:t xml:space="preserve"> </w:t>
      </w:r>
      <w:r w:rsidRPr="0ECAAAE2">
        <w:rPr>
          <w:rFonts w:cstheme="minorBidi"/>
        </w:rPr>
        <w:t xml:space="preserve">Trauma is also experienced by </w:t>
      </w:r>
      <w:r w:rsidR="00CA4A34" w:rsidRPr="16D8CB96">
        <w:rPr>
          <w:rFonts w:cstheme="minorBidi"/>
        </w:rPr>
        <w:t>complainants</w:t>
      </w:r>
      <w:r w:rsidR="00BD1333" w:rsidRPr="16D8CB96">
        <w:rPr>
          <w:rFonts w:cstheme="minorBidi"/>
        </w:rPr>
        <w:t xml:space="preserve"> </w:t>
      </w:r>
      <w:r w:rsidRPr="0ECAAAE2">
        <w:rPr>
          <w:rFonts w:cstheme="minorBidi"/>
        </w:rPr>
        <w:t>who prepare in anticipation of a trial commencing and then are advised the trial will not be reached. In this circumstance the trial is adjourned for a new date</w:t>
      </w:r>
      <w:r w:rsidR="002E1352">
        <w:rPr>
          <w:rFonts w:cstheme="minorBidi"/>
        </w:rPr>
        <w:t>, usually</w:t>
      </w:r>
      <w:r w:rsidRPr="0ECAAAE2">
        <w:rPr>
          <w:rFonts w:cstheme="minorBidi"/>
        </w:rPr>
        <w:t xml:space="preserve"> a further 8-12 months away. </w:t>
      </w:r>
    </w:p>
    <w:p w14:paraId="101F3600" w14:textId="2D16824A" w:rsidR="002612F9" w:rsidRPr="005B662A" w:rsidRDefault="002E1352" w:rsidP="005B662A">
      <w:pPr>
        <w:pStyle w:val="VLADocumentText"/>
      </w:pPr>
      <w:r>
        <w:t>W</w:t>
      </w:r>
      <w:r w:rsidR="002612F9" w:rsidRPr="00102EB9">
        <w:t xml:space="preserve">e note the findings of the </w:t>
      </w:r>
      <w:r w:rsidR="00477FA5">
        <w:rPr>
          <w:lang w:val="en-US"/>
        </w:rPr>
        <w:t xml:space="preserve">CIJ </w:t>
      </w:r>
      <w:r w:rsidR="002612F9" w:rsidRPr="00102EB9">
        <w:t>research on victims</w:t>
      </w:r>
      <w:r w:rsidR="002612F9">
        <w:t>’</w:t>
      </w:r>
      <w:r w:rsidR="002612F9" w:rsidRPr="00102EB9">
        <w:t xml:space="preserve"> experience</w:t>
      </w:r>
      <w:r w:rsidR="002612F9">
        <w:t xml:space="preserve"> in trials </w:t>
      </w:r>
      <w:r w:rsidR="00477FA5">
        <w:t xml:space="preserve">which </w:t>
      </w:r>
      <w:r w:rsidR="002612F9">
        <w:t xml:space="preserve">found that </w:t>
      </w:r>
      <w:r w:rsidR="00A564DB">
        <w:t>victims</w:t>
      </w:r>
      <w:r w:rsidR="002612F9" w:rsidRPr="00102EB9">
        <w:t xml:space="preserve"> often report that the uncertainty and delay involved in trials is a significant source of trauma.</w:t>
      </w:r>
      <w:r w:rsidR="002612F9">
        <w:t xml:space="preserve"> The</w:t>
      </w:r>
      <w:r w:rsidR="00527882">
        <w:t xml:space="preserve"> </w:t>
      </w:r>
      <w:r w:rsidR="00477FA5" w:rsidRPr="7C335FA3">
        <w:rPr>
          <w:rFonts w:cstheme="minorBidi"/>
        </w:rPr>
        <w:t>report</w:t>
      </w:r>
      <w:r w:rsidR="002612F9" w:rsidRPr="7C335FA3">
        <w:rPr>
          <w:rFonts w:cstheme="minorBidi"/>
        </w:rPr>
        <w:t xml:space="preserve"> </w:t>
      </w:r>
      <w:r w:rsidR="002612F9" w:rsidRPr="0ECAAAE2">
        <w:rPr>
          <w:rFonts w:cstheme="minorBidi"/>
        </w:rPr>
        <w:t xml:space="preserve">found that </w:t>
      </w:r>
      <w:r w:rsidR="00477FA5" w:rsidRPr="7C335FA3">
        <w:rPr>
          <w:rFonts w:cstheme="minorBidi"/>
        </w:rPr>
        <w:t xml:space="preserve">victims </w:t>
      </w:r>
      <w:r w:rsidR="002612F9" w:rsidRPr="0ECAAAE2">
        <w:rPr>
          <w:rFonts w:cstheme="minorBidi"/>
        </w:rPr>
        <w:t>assumed that if a matter had been committed for trial, this means that a trial will certainly run, and a conviction is highly likely or even a certainty. This led to “intense disappointment and misunderstandings” in some cases</w:t>
      </w:r>
      <w:r w:rsidR="005B662A">
        <w:rPr>
          <w:rFonts w:cstheme="minorBidi"/>
        </w:rPr>
        <w:t xml:space="preserve"> when a trial did not go ahead</w:t>
      </w:r>
      <w:r w:rsidR="002612F9" w:rsidRPr="0ECAAAE2">
        <w:rPr>
          <w:rFonts w:cstheme="minorBidi"/>
        </w:rPr>
        <w:t>.</w:t>
      </w:r>
      <w:r w:rsidR="005B662A">
        <w:rPr>
          <w:rStyle w:val="FootnoteReference"/>
        </w:rPr>
        <w:footnoteReference w:id="50"/>
      </w:r>
      <w:r w:rsidR="002612F9" w:rsidRPr="0ECAAAE2">
        <w:rPr>
          <w:rFonts w:cstheme="minorBidi"/>
        </w:rPr>
        <w:t xml:space="preserve"> </w:t>
      </w:r>
    </w:p>
    <w:p w14:paraId="4CE02BC0" w14:textId="58D9C183" w:rsidR="002612F9" w:rsidRDefault="002612F9" w:rsidP="002612F9">
      <w:pPr>
        <w:pStyle w:val="VLADocumentText"/>
        <w:rPr>
          <w:rFonts w:cstheme="minorHAnsi"/>
        </w:rPr>
      </w:pPr>
      <w:r>
        <w:rPr>
          <w:rFonts w:cstheme="minorHAnsi"/>
        </w:rPr>
        <w:lastRenderedPageBreak/>
        <w:t xml:space="preserve">The CIJ recommend that </w:t>
      </w:r>
      <w:r w:rsidR="003E2334">
        <w:rPr>
          <w:rFonts w:cstheme="minorHAnsi"/>
        </w:rPr>
        <w:t xml:space="preserve">the prosecuting agency </w:t>
      </w:r>
      <w:r w:rsidRPr="00DE6980">
        <w:rPr>
          <w:rFonts w:cstheme="minorHAnsi"/>
        </w:rPr>
        <w:t xml:space="preserve">should ensure that they </w:t>
      </w:r>
      <w:r w:rsidR="005B662A">
        <w:rPr>
          <w:rFonts w:cstheme="minorHAnsi"/>
        </w:rPr>
        <w:t xml:space="preserve">communicate with </w:t>
      </w:r>
      <w:r w:rsidR="00965A26">
        <w:rPr>
          <w:rFonts w:cstheme="minorHAnsi"/>
        </w:rPr>
        <w:t>v</w:t>
      </w:r>
      <w:r w:rsidR="005B662A">
        <w:rPr>
          <w:rFonts w:cstheme="minorHAnsi"/>
        </w:rPr>
        <w:t>ictims</w:t>
      </w:r>
      <w:r w:rsidR="005B662A" w:rsidRPr="00DE6980">
        <w:rPr>
          <w:rFonts w:cstheme="minorHAnsi"/>
        </w:rPr>
        <w:t xml:space="preserve"> </w:t>
      </w:r>
      <w:r w:rsidRPr="00DE6980">
        <w:rPr>
          <w:rFonts w:cstheme="minorHAnsi"/>
        </w:rPr>
        <w:t>that:</w:t>
      </w:r>
      <w:r>
        <w:rPr>
          <w:rFonts w:cstheme="minorHAnsi"/>
        </w:rPr>
        <w:t xml:space="preserve"> </w:t>
      </w:r>
    </w:p>
    <w:p w14:paraId="4EFB3436" w14:textId="2A72C0D4" w:rsidR="002612F9" w:rsidRDefault="0017352E" w:rsidP="002612F9">
      <w:pPr>
        <w:pStyle w:val="VLADocumentText"/>
        <w:numPr>
          <w:ilvl w:val="0"/>
          <w:numId w:val="18"/>
        </w:numPr>
        <w:rPr>
          <w:rFonts w:cstheme="minorHAnsi"/>
        </w:rPr>
      </w:pPr>
      <w:r>
        <w:rPr>
          <w:rFonts w:cstheme="minorHAnsi"/>
        </w:rPr>
        <w:t>i</w:t>
      </w:r>
      <w:r w:rsidR="002612F9" w:rsidRPr="00DE6980">
        <w:rPr>
          <w:rFonts w:cstheme="minorHAnsi"/>
        </w:rPr>
        <w:t xml:space="preserve">n committing the matter, the </w:t>
      </w:r>
      <w:r w:rsidR="002612F9">
        <w:rPr>
          <w:rFonts w:cstheme="minorHAnsi"/>
        </w:rPr>
        <w:t>m</w:t>
      </w:r>
      <w:r w:rsidR="002612F9" w:rsidRPr="00DE6980">
        <w:rPr>
          <w:rFonts w:cstheme="minorHAnsi"/>
        </w:rPr>
        <w:t>agistrate has decided that a conviction is possible on the available</w:t>
      </w:r>
      <w:r w:rsidR="002612F9">
        <w:rPr>
          <w:rFonts w:cstheme="minorHAnsi"/>
        </w:rPr>
        <w:t xml:space="preserve"> </w:t>
      </w:r>
      <w:r w:rsidR="002612F9" w:rsidRPr="00DE6980">
        <w:rPr>
          <w:rFonts w:cstheme="minorHAnsi"/>
        </w:rPr>
        <w:t>evidence</w:t>
      </w:r>
      <w:r>
        <w:rPr>
          <w:rFonts w:cstheme="minorHAnsi"/>
        </w:rPr>
        <w:t>;</w:t>
      </w:r>
      <w:r w:rsidR="002612F9" w:rsidRPr="00DE6980">
        <w:rPr>
          <w:rFonts w:cstheme="minorHAnsi"/>
        </w:rPr>
        <w:t xml:space="preserve"> </w:t>
      </w:r>
      <w:r>
        <w:rPr>
          <w:rFonts w:cstheme="minorHAnsi"/>
        </w:rPr>
        <w:t>t</w:t>
      </w:r>
      <w:r w:rsidR="002612F9" w:rsidRPr="00DE6980">
        <w:rPr>
          <w:rFonts w:cstheme="minorHAnsi"/>
        </w:rPr>
        <w:t xml:space="preserve">he </w:t>
      </w:r>
      <w:r w:rsidR="002612F9">
        <w:rPr>
          <w:rFonts w:cstheme="minorHAnsi"/>
        </w:rPr>
        <w:t>m</w:t>
      </w:r>
      <w:r w:rsidR="002612F9" w:rsidRPr="00DE6980">
        <w:rPr>
          <w:rFonts w:cstheme="minorHAnsi"/>
        </w:rPr>
        <w:t>agistrate is not offering a view on whether or not there will be a conviction</w:t>
      </w:r>
      <w:r>
        <w:rPr>
          <w:rFonts w:cstheme="minorHAnsi"/>
        </w:rPr>
        <w:t>;</w:t>
      </w:r>
      <w:r w:rsidR="002612F9" w:rsidRPr="00DE6980">
        <w:rPr>
          <w:rFonts w:cstheme="minorHAnsi"/>
        </w:rPr>
        <w:t xml:space="preserve"> </w:t>
      </w:r>
    </w:p>
    <w:p w14:paraId="160EDA7B" w14:textId="624310AC" w:rsidR="002612F9" w:rsidRDefault="0017352E" w:rsidP="002612F9">
      <w:pPr>
        <w:pStyle w:val="VLADocumentText"/>
        <w:numPr>
          <w:ilvl w:val="0"/>
          <w:numId w:val="17"/>
        </w:numPr>
        <w:rPr>
          <w:rFonts w:cstheme="minorHAnsi"/>
        </w:rPr>
      </w:pPr>
      <w:r>
        <w:rPr>
          <w:rFonts w:cstheme="minorHAnsi"/>
        </w:rPr>
        <w:t>t</w:t>
      </w:r>
      <w:r w:rsidR="002612F9" w:rsidRPr="00DE6980">
        <w:rPr>
          <w:rFonts w:cstheme="minorHAnsi"/>
        </w:rPr>
        <w:t>rials are</w:t>
      </w:r>
      <w:r w:rsidR="002612F9">
        <w:rPr>
          <w:rFonts w:cstheme="minorHAnsi"/>
        </w:rPr>
        <w:t xml:space="preserve"> </w:t>
      </w:r>
      <w:r w:rsidR="002612F9" w:rsidRPr="00DE6980">
        <w:rPr>
          <w:rFonts w:cstheme="minorHAnsi"/>
        </w:rPr>
        <w:t>inherently uncertain</w:t>
      </w:r>
      <w:r>
        <w:rPr>
          <w:rFonts w:cstheme="minorHAnsi"/>
        </w:rPr>
        <w:t>;</w:t>
      </w:r>
      <w:r w:rsidR="002612F9">
        <w:rPr>
          <w:rFonts w:cstheme="minorHAnsi"/>
        </w:rPr>
        <w:t xml:space="preserve"> </w:t>
      </w:r>
    </w:p>
    <w:p w14:paraId="52E05283" w14:textId="3D8CE349" w:rsidR="002612F9" w:rsidRDefault="0017352E" w:rsidP="002612F9">
      <w:pPr>
        <w:pStyle w:val="VLADocumentText"/>
        <w:numPr>
          <w:ilvl w:val="0"/>
          <w:numId w:val="17"/>
        </w:numPr>
        <w:rPr>
          <w:rFonts w:cstheme="minorHAnsi"/>
        </w:rPr>
      </w:pPr>
      <w:r>
        <w:rPr>
          <w:rFonts w:cstheme="minorHAnsi"/>
        </w:rPr>
        <w:t>t</w:t>
      </w:r>
      <w:r w:rsidR="002612F9" w:rsidRPr="00DE6980">
        <w:rPr>
          <w:rFonts w:cstheme="minorHAnsi"/>
        </w:rPr>
        <w:t xml:space="preserve">he </w:t>
      </w:r>
      <w:r w:rsidR="002612F9">
        <w:rPr>
          <w:rFonts w:cstheme="minorHAnsi"/>
        </w:rPr>
        <w:t>m</w:t>
      </w:r>
      <w:r w:rsidR="002612F9" w:rsidRPr="00DE6980">
        <w:rPr>
          <w:rFonts w:cstheme="minorHAnsi"/>
        </w:rPr>
        <w:t>agistrate’s decision makes it possible for a trial to be run</w:t>
      </w:r>
      <w:r>
        <w:rPr>
          <w:rFonts w:cstheme="minorHAnsi"/>
        </w:rPr>
        <w:t>;</w:t>
      </w:r>
      <w:r w:rsidR="002612F9" w:rsidRPr="00DE6980">
        <w:rPr>
          <w:rFonts w:cstheme="minorHAnsi"/>
        </w:rPr>
        <w:t xml:space="preserve"> </w:t>
      </w:r>
      <w:r>
        <w:rPr>
          <w:rFonts w:cstheme="minorHAnsi"/>
        </w:rPr>
        <w:t>t</w:t>
      </w:r>
      <w:r w:rsidR="002612F9" w:rsidRPr="00DE6980">
        <w:rPr>
          <w:rFonts w:cstheme="minorHAnsi"/>
        </w:rPr>
        <w:t>his might not be what actually</w:t>
      </w:r>
      <w:r w:rsidR="002612F9">
        <w:rPr>
          <w:rFonts w:cstheme="minorHAnsi"/>
        </w:rPr>
        <w:t xml:space="preserve"> </w:t>
      </w:r>
      <w:r w:rsidR="002612F9" w:rsidRPr="00DE6980">
        <w:rPr>
          <w:rFonts w:cstheme="minorHAnsi"/>
        </w:rPr>
        <w:t>happens</w:t>
      </w:r>
      <w:r>
        <w:rPr>
          <w:rFonts w:cstheme="minorHAnsi"/>
        </w:rPr>
        <w:t>;</w:t>
      </w:r>
      <w:r w:rsidR="002612F9" w:rsidRPr="00DE6980">
        <w:rPr>
          <w:rFonts w:cstheme="minorHAnsi"/>
        </w:rPr>
        <w:t xml:space="preserve"> </w:t>
      </w:r>
    </w:p>
    <w:p w14:paraId="02CA3D6A" w14:textId="309C84D3" w:rsidR="002612F9" w:rsidRDefault="0017352E" w:rsidP="002612F9">
      <w:pPr>
        <w:pStyle w:val="VLADocumentText"/>
        <w:numPr>
          <w:ilvl w:val="0"/>
          <w:numId w:val="17"/>
        </w:numPr>
        <w:rPr>
          <w:rFonts w:cstheme="minorHAnsi"/>
        </w:rPr>
      </w:pPr>
      <w:r>
        <w:rPr>
          <w:rFonts w:cstheme="minorHAnsi"/>
        </w:rPr>
        <w:t>m</w:t>
      </w:r>
      <w:r w:rsidR="002612F9" w:rsidRPr="00DE6980">
        <w:rPr>
          <w:rFonts w:cstheme="minorHAnsi"/>
        </w:rPr>
        <w:t>any matters resolve after the committal and before the trial</w:t>
      </w:r>
      <w:r>
        <w:rPr>
          <w:rFonts w:cstheme="minorHAnsi"/>
        </w:rPr>
        <w:t>;</w:t>
      </w:r>
      <w:r w:rsidR="002612F9">
        <w:rPr>
          <w:rFonts w:cstheme="minorHAnsi"/>
        </w:rPr>
        <w:t xml:space="preserve"> </w:t>
      </w:r>
    </w:p>
    <w:p w14:paraId="23A2CC79" w14:textId="7FA06BD0" w:rsidR="002612F9" w:rsidRDefault="0017352E" w:rsidP="002612F9">
      <w:pPr>
        <w:pStyle w:val="VLADocumentText"/>
        <w:numPr>
          <w:ilvl w:val="0"/>
          <w:numId w:val="17"/>
        </w:numPr>
        <w:rPr>
          <w:rFonts w:cstheme="minorHAnsi"/>
        </w:rPr>
      </w:pPr>
      <w:r>
        <w:rPr>
          <w:rFonts w:cstheme="minorHAnsi"/>
        </w:rPr>
        <w:t>t</w:t>
      </w:r>
      <w:r w:rsidR="002612F9" w:rsidRPr="00DE6980">
        <w:rPr>
          <w:rFonts w:cstheme="minorHAnsi"/>
        </w:rPr>
        <w:t xml:space="preserve">he standard of proof the </w:t>
      </w:r>
      <w:r w:rsidR="002612F9">
        <w:rPr>
          <w:rFonts w:cstheme="minorHAnsi"/>
        </w:rPr>
        <w:t>m</w:t>
      </w:r>
      <w:r w:rsidR="002612F9" w:rsidRPr="00DE6980">
        <w:rPr>
          <w:rFonts w:cstheme="minorHAnsi"/>
        </w:rPr>
        <w:t>agistrate relied on when making the decision to commit the matter is</w:t>
      </w:r>
      <w:r w:rsidR="002612F9">
        <w:rPr>
          <w:rFonts w:cstheme="minorHAnsi"/>
        </w:rPr>
        <w:t xml:space="preserve"> </w:t>
      </w:r>
      <w:r w:rsidR="002612F9" w:rsidRPr="00DE6980">
        <w:rPr>
          <w:rFonts w:cstheme="minorHAnsi"/>
        </w:rPr>
        <w:t>much lower than the standard of proof (beyond reasonable doubt) that applies at trial.</w:t>
      </w:r>
      <w:r w:rsidR="002612F9">
        <w:rPr>
          <w:rFonts w:cstheme="minorHAnsi"/>
        </w:rPr>
        <w:t xml:space="preserve"> </w:t>
      </w:r>
    </w:p>
    <w:p w14:paraId="1BA11961" w14:textId="037D589E" w:rsidR="00633B81" w:rsidRPr="00657DFC" w:rsidRDefault="00633B81" w:rsidP="00F208F8">
      <w:pPr>
        <w:pStyle w:val="Heading1"/>
      </w:pPr>
      <w:bookmarkStart w:id="84" w:name="_Toc17050689"/>
      <w:bookmarkStart w:id="85" w:name="_Toc17155102"/>
      <w:r w:rsidRPr="00E44D59">
        <w:t xml:space="preserve">Question 9. </w:t>
      </w:r>
      <w:r w:rsidRPr="00657DFC">
        <w:t>Should cross-examination at a committal hearing be further restricted or abolished? If so, why?</w:t>
      </w:r>
      <w:bookmarkEnd w:id="84"/>
      <w:bookmarkEnd w:id="85"/>
      <w:r w:rsidRPr="00657DFC">
        <w:t xml:space="preserve"> </w:t>
      </w:r>
    </w:p>
    <w:p w14:paraId="04525580" w14:textId="526465ED" w:rsidR="00EB2405" w:rsidRDefault="00A500A9" w:rsidP="00F56C10">
      <w:pPr>
        <w:pStyle w:val="VLADocumentText"/>
      </w:pPr>
      <w:r w:rsidRPr="00657DFC">
        <w:t xml:space="preserve">All </w:t>
      </w:r>
      <w:r w:rsidR="00657DFC" w:rsidRPr="00657DFC">
        <w:t>complainants</w:t>
      </w:r>
      <w:r w:rsidR="00527882">
        <w:t xml:space="preserve"> and </w:t>
      </w:r>
      <w:r w:rsidRPr="00657DFC">
        <w:t xml:space="preserve">witnesses should be treated with dignity and respect and the trauma associated with giving evidence should be minimised. VLA supports processes that reduces </w:t>
      </w:r>
      <w:r w:rsidR="00657DFC" w:rsidRPr="00657DFC">
        <w:t xml:space="preserve">the distress </w:t>
      </w:r>
      <w:r w:rsidRPr="00657DFC">
        <w:t xml:space="preserve">involved </w:t>
      </w:r>
      <w:r w:rsidR="009D0A23">
        <w:t xml:space="preserve">with participating </w:t>
      </w:r>
      <w:r w:rsidRPr="00657DFC">
        <w:t xml:space="preserve">in the criminal processes. </w:t>
      </w:r>
      <w:r w:rsidR="00EB2405">
        <w:t xml:space="preserve">However, it is not necessary to abolish or further restrict cross-examination at a committal hearing. </w:t>
      </w:r>
      <w:r w:rsidR="00C633D0" w:rsidRPr="00657DFC">
        <w:t xml:space="preserve">In our experience, the committal system can contribute to a more positive experience </w:t>
      </w:r>
      <w:r w:rsidR="009D0A23">
        <w:t xml:space="preserve">for complainants and </w:t>
      </w:r>
      <w:r w:rsidR="00C633D0" w:rsidRPr="00657DFC">
        <w:t>witnesses</w:t>
      </w:r>
      <w:r w:rsidR="009D0A23">
        <w:t>,</w:t>
      </w:r>
      <w:r w:rsidR="00C633D0" w:rsidRPr="00657DFC">
        <w:t xml:space="preserve"> through the promotion of early resolution of the criminal charges.</w:t>
      </w:r>
      <w:r w:rsidR="006B3694">
        <w:rPr>
          <w:rStyle w:val="FootnoteReference"/>
        </w:rPr>
        <w:footnoteReference w:id="51"/>
      </w:r>
      <w:r w:rsidR="00C633D0" w:rsidRPr="00657DFC">
        <w:t xml:space="preserve"> </w:t>
      </w:r>
    </w:p>
    <w:p w14:paraId="7A892CDA" w14:textId="3C0FCF2B" w:rsidR="00166B2A" w:rsidRDefault="00166B2A" w:rsidP="00166B2A">
      <w:pPr>
        <w:pStyle w:val="Heading3"/>
      </w:pPr>
      <w:bookmarkStart w:id="86" w:name="_Toc17155103"/>
      <w:bookmarkStart w:id="87" w:name="_Hlk17113965"/>
      <w:r>
        <w:t>Test for granting leave to cross-examine</w:t>
      </w:r>
      <w:bookmarkEnd w:id="86"/>
    </w:p>
    <w:p w14:paraId="452AD9DF" w14:textId="70A7196D" w:rsidR="002B0FCE" w:rsidRPr="00657DFC" w:rsidRDefault="00FB055B" w:rsidP="00970FA0">
      <w:pPr>
        <w:pStyle w:val="VLADocumentText"/>
      </w:pPr>
      <w:r>
        <w:t>R</w:t>
      </w:r>
      <w:r w:rsidR="002B0FCE" w:rsidRPr="00657DFC">
        <w:t xml:space="preserve">eforms introduced in 2014 restricted the cross-examination of </w:t>
      </w:r>
      <w:r w:rsidR="00DF7FBD">
        <w:t>all</w:t>
      </w:r>
      <w:r w:rsidR="00527882">
        <w:t xml:space="preserve"> </w:t>
      </w:r>
      <w:r w:rsidR="00EC566C" w:rsidRPr="00657DFC">
        <w:t xml:space="preserve">witnesses </w:t>
      </w:r>
      <w:r w:rsidR="002B0FCE" w:rsidRPr="00657DFC">
        <w:t>during committal proceedings</w:t>
      </w:r>
      <w:r w:rsidR="00E020F0">
        <w:t>,</w:t>
      </w:r>
      <w:r w:rsidR="00AB5535" w:rsidRPr="00657DFC">
        <w:rPr>
          <w:rStyle w:val="FootnoteReference"/>
        </w:rPr>
        <w:footnoteReference w:id="52"/>
      </w:r>
      <w:r w:rsidR="00E020F0">
        <w:t xml:space="preserve"> including:</w:t>
      </w:r>
      <w:r w:rsidR="002B0FCE" w:rsidRPr="00657DFC">
        <w:t xml:space="preserve"> </w:t>
      </w:r>
    </w:p>
    <w:p w14:paraId="17F512E3" w14:textId="535136CF" w:rsidR="002B0FCE" w:rsidRPr="00657DFC" w:rsidRDefault="00E020F0" w:rsidP="002B0FCE">
      <w:pPr>
        <w:pStyle w:val="VLADocumentText"/>
        <w:numPr>
          <w:ilvl w:val="0"/>
          <w:numId w:val="14"/>
        </w:numPr>
        <w:rPr>
          <w:lang w:val="en-GB" w:eastAsia="en-AU"/>
        </w:rPr>
      </w:pPr>
      <w:r>
        <w:t xml:space="preserve">creating </w:t>
      </w:r>
      <w:r w:rsidR="002B0FCE" w:rsidRPr="00657DFC">
        <w:t xml:space="preserve">a new test </w:t>
      </w:r>
      <w:r w:rsidR="002B0FCE" w:rsidRPr="00657DFC">
        <w:rPr>
          <w:lang w:val="en-GB" w:eastAsia="en-AU"/>
        </w:rPr>
        <w:t xml:space="preserve">for </w:t>
      </w:r>
      <w:r>
        <w:rPr>
          <w:lang w:val="en-GB" w:eastAsia="en-AU"/>
        </w:rPr>
        <w:t xml:space="preserve">the magistrate in </w:t>
      </w:r>
      <w:r w:rsidR="002B0FCE" w:rsidRPr="00657DFC">
        <w:rPr>
          <w:lang w:val="en-GB" w:eastAsia="en-AU"/>
        </w:rPr>
        <w:t xml:space="preserve">determining when </w:t>
      </w:r>
      <w:r>
        <w:rPr>
          <w:lang w:val="en-GB" w:eastAsia="en-AU"/>
        </w:rPr>
        <w:t xml:space="preserve">to grant </w:t>
      </w:r>
      <w:r w:rsidR="002B0FCE" w:rsidRPr="00657DFC">
        <w:rPr>
          <w:lang w:val="en-GB" w:eastAsia="en-AU"/>
        </w:rPr>
        <w:t xml:space="preserve">leave to cross-examine at a committal hearing; </w:t>
      </w:r>
    </w:p>
    <w:p w14:paraId="2FE23DE5" w14:textId="24451400" w:rsidR="002B0FCE" w:rsidRPr="00657DFC" w:rsidRDefault="00E020F0" w:rsidP="002B0FCE">
      <w:pPr>
        <w:pStyle w:val="VLADocumentText"/>
        <w:numPr>
          <w:ilvl w:val="0"/>
          <w:numId w:val="14"/>
        </w:numPr>
        <w:rPr>
          <w:lang w:val="en-GB" w:eastAsia="en-AU"/>
        </w:rPr>
      </w:pPr>
      <w:r>
        <w:t xml:space="preserve">requiring the accused </w:t>
      </w:r>
      <w:r w:rsidR="002B0FCE" w:rsidRPr="00657DFC">
        <w:t>to seek leave for every issue on which they propose to cross-examine, and address the relevance and justification of the proposed cross-examination</w:t>
      </w:r>
      <w:r w:rsidR="002B0FCE" w:rsidRPr="00657DFC">
        <w:rPr>
          <w:lang w:val="en-GB" w:eastAsia="en-AU"/>
        </w:rPr>
        <w:t>; and</w:t>
      </w:r>
    </w:p>
    <w:p w14:paraId="156D5336" w14:textId="3816E73C" w:rsidR="002B0FCE" w:rsidRPr="00A14281" w:rsidRDefault="002B0FCE" w:rsidP="002B0FCE">
      <w:pPr>
        <w:pStyle w:val="VLADocumentText"/>
        <w:numPr>
          <w:ilvl w:val="0"/>
          <w:numId w:val="14"/>
        </w:numPr>
        <w:rPr>
          <w:lang w:val="en-GB" w:eastAsia="en-AU"/>
        </w:rPr>
      </w:pPr>
      <w:r w:rsidRPr="00A14281">
        <w:rPr>
          <w:lang w:val="en-GB" w:eastAsia="en-AU"/>
        </w:rPr>
        <w:t>clarif</w:t>
      </w:r>
      <w:r w:rsidR="00E020F0">
        <w:rPr>
          <w:lang w:val="en-GB" w:eastAsia="en-AU"/>
        </w:rPr>
        <w:t>ying the credibility rule</w:t>
      </w:r>
      <w:r w:rsidRPr="00A14281">
        <w:rPr>
          <w:lang w:val="en-GB" w:eastAsia="en-AU"/>
        </w:rPr>
        <w:t xml:space="preserve"> </w:t>
      </w:r>
      <w:r w:rsidR="00E020F0" w:rsidRPr="00E020F0">
        <w:rPr>
          <w:i/>
          <w:lang w:val="en-GB" w:eastAsia="en-AU"/>
        </w:rPr>
        <w:t>does</w:t>
      </w:r>
      <w:r w:rsidR="00E020F0">
        <w:rPr>
          <w:lang w:val="en-GB" w:eastAsia="en-AU"/>
        </w:rPr>
        <w:t xml:space="preserve"> </w:t>
      </w:r>
      <w:r w:rsidRPr="00A14281">
        <w:rPr>
          <w:lang w:val="en-GB" w:eastAsia="en-AU"/>
        </w:rPr>
        <w:t xml:space="preserve">apply to committal proceedings, meaning that </w:t>
      </w:r>
      <w:r w:rsidRPr="00A14281">
        <w:t xml:space="preserve">an accused must not be granted leave to cross-examine about </w:t>
      </w:r>
      <w:r>
        <w:t>a complainants</w:t>
      </w:r>
      <w:r w:rsidRPr="00A14281">
        <w:t xml:space="preserve">’ credibility unless </w:t>
      </w:r>
      <w:r>
        <w:t xml:space="preserve">it </w:t>
      </w:r>
      <w:r w:rsidRPr="00A14281">
        <w:t xml:space="preserve">could substantially affect the assessment of the credibility of the </w:t>
      </w:r>
      <w:r>
        <w:t>complainant</w:t>
      </w:r>
      <w:r w:rsidRPr="00A14281">
        <w:t>.</w:t>
      </w:r>
      <w:r w:rsidRPr="00A14281">
        <w:rPr>
          <w:rStyle w:val="FootnoteReference"/>
        </w:rPr>
        <w:footnoteReference w:id="53"/>
      </w:r>
    </w:p>
    <w:p w14:paraId="754225D5" w14:textId="343706EA" w:rsidR="00AB52A4" w:rsidRDefault="00166B2A" w:rsidP="00166B2A">
      <w:pPr>
        <w:spacing w:before="120"/>
      </w:pPr>
      <w:r>
        <w:t xml:space="preserve">Properly applied, these requirements already serve as a key filter to ensure that cross-examination is limited, and where permitted is confined to necessary and relevant issues. </w:t>
      </w:r>
      <w:bookmarkStart w:id="88" w:name="_Hlk16860927"/>
    </w:p>
    <w:p w14:paraId="052AA501" w14:textId="48658570" w:rsidR="00E020F0" w:rsidRPr="00E020F0" w:rsidRDefault="00166B2A" w:rsidP="00166B2A">
      <w:pPr>
        <w:spacing w:before="120"/>
      </w:pPr>
      <w:r>
        <w:lastRenderedPageBreak/>
        <w:t>The VLRC in 2016 recommended that the test for granting leave to cross examine be further restricted.</w:t>
      </w:r>
      <w:bookmarkStart w:id="89" w:name="_Ref17107333"/>
      <w:r>
        <w:rPr>
          <w:rFonts w:cs="Arial"/>
          <w:sz w:val="18"/>
          <w:vertAlign w:val="superscript"/>
        </w:rPr>
        <w:footnoteReference w:id="54"/>
      </w:r>
      <w:bookmarkEnd w:id="88"/>
      <w:bookmarkEnd w:id="89"/>
      <w:r>
        <w:t xml:space="preserve"> Our experience is that the current test</w:t>
      </w:r>
      <w:r w:rsidR="00AC48A9">
        <w:t>, when properly enforced,</w:t>
      </w:r>
      <w:r>
        <w:t xml:space="preserve"> sets an appropriate threshold </w:t>
      </w:r>
      <w:r w:rsidR="00AC48A9">
        <w:t xml:space="preserve">for enabling cross-examination </w:t>
      </w:r>
      <w:r>
        <w:t xml:space="preserve">and precludes committals being used as a fishing exercise. However, </w:t>
      </w:r>
      <w:r w:rsidR="008F04F4">
        <w:t xml:space="preserve">if the Commission took a different </w:t>
      </w:r>
      <w:r w:rsidR="00EA20C4">
        <w:t>view,</w:t>
      </w:r>
      <w:r w:rsidR="008F04F4">
        <w:t xml:space="preserve"> </w:t>
      </w:r>
      <w:r>
        <w:t xml:space="preserve">we would </w:t>
      </w:r>
      <w:r w:rsidR="008F04F4">
        <w:t>invite further consultation to ensure that current benefits relating to disclosure, narrowing issues at trial and promoting early resolution, are maintained</w:t>
      </w:r>
      <w:r w:rsidR="00367949">
        <w:t>.</w:t>
      </w:r>
      <w:r w:rsidR="002D141A">
        <w:t xml:space="preserve"> </w:t>
      </w:r>
    </w:p>
    <w:p w14:paraId="141A7F8F" w14:textId="7EC69250" w:rsidR="00166B2A" w:rsidRDefault="00166B2A" w:rsidP="00166B2A">
      <w:pPr>
        <w:pStyle w:val="Heading3"/>
      </w:pPr>
      <w:bookmarkStart w:id="90" w:name="_Toc17155104"/>
      <w:bookmarkEnd w:id="87"/>
      <w:r>
        <w:t>Existing restrictions and supporting mechanisms</w:t>
      </w:r>
      <w:bookmarkEnd w:id="90"/>
    </w:p>
    <w:p w14:paraId="2CDC100D" w14:textId="1ECC9C3A" w:rsidR="000D2721" w:rsidRPr="00DF7FBD" w:rsidRDefault="00C32B1E" w:rsidP="000D2721">
      <w:pPr>
        <w:pStyle w:val="VLADocumentText"/>
      </w:pPr>
      <w:r>
        <w:t xml:space="preserve">The current </w:t>
      </w:r>
      <w:r w:rsidR="000D2721">
        <w:t>committals process</w:t>
      </w:r>
      <w:r w:rsidR="000D2721">
        <w:rPr>
          <w:lang w:eastAsia="en-AU"/>
        </w:rPr>
        <w:t xml:space="preserve"> preclude</w:t>
      </w:r>
      <w:r>
        <w:rPr>
          <w:lang w:eastAsia="en-AU"/>
        </w:rPr>
        <w:t>s</w:t>
      </w:r>
      <w:r w:rsidR="000D2721">
        <w:rPr>
          <w:lang w:eastAsia="en-AU"/>
        </w:rPr>
        <w:t xml:space="preserve"> </w:t>
      </w:r>
      <w:r w:rsidR="00CF554B">
        <w:rPr>
          <w:lang w:eastAsia="en-AU"/>
        </w:rPr>
        <w:t>c</w:t>
      </w:r>
      <w:r w:rsidR="000D2721" w:rsidRPr="005C6A18">
        <w:rPr>
          <w:lang w:eastAsia="en-AU"/>
        </w:rPr>
        <w:t xml:space="preserve">hild and cognitively impaired complainants of sexual offences </w:t>
      </w:r>
      <w:r w:rsidR="00CF554B">
        <w:rPr>
          <w:lang w:eastAsia="en-AU"/>
        </w:rPr>
        <w:t xml:space="preserve">from being </w:t>
      </w:r>
      <w:r w:rsidR="000D2721" w:rsidRPr="005C6A18">
        <w:rPr>
          <w:lang w:eastAsia="en-AU"/>
        </w:rPr>
        <w:t>cross-examined at a committal</w:t>
      </w:r>
      <w:r w:rsidR="000D2721">
        <w:rPr>
          <w:lang w:eastAsia="en-AU"/>
        </w:rPr>
        <w:t>.</w:t>
      </w:r>
      <w:r>
        <w:rPr>
          <w:lang w:eastAsia="en-AU"/>
        </w:rPr>
        <w:t xml:space="preserve"> Recently, this was </w:t>
      </w:r>
      <w:r w:rsidR="0051463C">
        <w:rPr>
          <w:lang w:eastAsia="en-AU"/>
        </w:rPr>
        <w:t xml:space="preserve">expanded to prohibit </w:t>
      </w:r>
      <w:r w:rsidR="0051463C" w:rsidRPr="00BC5C4E">
        <w:t>any</w:t>
      </w:r>
      <w:r w:rsidR="0051463C">
        <w:rPr>
          <w:lang w:eastAsia="en-AU"/>
        </w:rPr>
        <w:t xml:space="preserve"> witness from being cross-examined at a committal in these cases.</w:t>
      </w:r>
      <w:r w:rsidR="000D2721">
        <w:rPr>
          <w:rStyle w:val="FootnoteReference"/>
          <w:lang w:eastAsia="en-AU"/>
        </w:rPr>
        <w:footnoteReference w:id="55"/>
      </w:r>
      <w:r w:rsidR="000D2721">
        <w:rPr>
          <w:lang w:eastAsia="en-AU"/>
        </w:rPr>
        <w:t xml:space="preserve"> </w:t>
      </w:r>
      <w:r w:rsidR="000D2721" w:rsidRPr="005C6A18">
        <w:rPr>
          <w:lang w:eastAsia="en-AU"/>
        </w:rPr>
        <w:t>Other child</w:t>
      </w:r>
      <w:r w:rsidR="00803C4E">
        <w:rPr>
          <w:lang w:eastAsia="en-AU"/>
        </w:rPr>
        <w:t xml:space="preserve"> </w:t>
      </w:r>
      <w:r w:rsidR="000D2721">
        <w:rPr>
          <w:lang w:eastAsia="en-AU"/>
        </w:rPr>
        <w:t>witnesses</w:t>
      </w:r>
      <w:r w:rsidR="000D2721" w:rsidRPr="005C6A18">
        <w:rPr>
          <w:lang w:eastAsia="en-AU"/>
        </w:rPr>
        <w:t xml:space="preserve"> are in practice not cross-examined, due to the requirem</w:t>
      </w:r>
      <w:r w:rsidR="000D2721" w:rsidRPr="0030110F">
        <w:t>ent of special reasons</w:t>
      </w:r>
      <w:r w:rsidR="006B506B">
        <w:t xml:space="preserve"> for granting leave to cross-examine a child</w:t>
      </w:r>
      <w:r w:rsidR="000D2721" w:rsidRPr="00DF7FBD">
        <w:rPr>
          <w:rStyle w:val="FootnoteReference"/>
        </w:rPr>
        <w:footnoteReference w:id="56"/>
      </w:r>
      <w:r w:rsidR="000D2721" w:rsidRPr="00DF7FBD">
        <w:t xml:space="preserve"> which is rarely granted in our experience. </w:t>
      </w:r>
    </w:p>
    <w:p w14:paraId="73E4B0D9" w14:textId="58F303FF" w:rsidR="00E4568D" w:rsidRDefault="002B0FCE" w:rsidP="002D0923">
      <w:pPr>
        <w:pStyle w:val="VLADocumentText"/>
      </w:pPr>
      <w:r w:rsidRPr="00DF7FBD">
        <w:t>The remaining proportion of adult, non-cognitively impaired, complainants who will be required to give evidence during the committal process and again at trial, can be supported to minimise the distress of the committal experience</w:t>
      </w:r>
      <w:r w:rsidR="00E4568D">
        <w:t xml:space="preserve"> through the </w:t>
      </w:r>
      <w:r w:rsidR="00F9628E">
        <w:t xml:space="preserve">bolstering </w:t>
      </w:r>
      <w:r w:rsidR="00E4568D">
        <w:t>of existing mechanisms</w:t>
      </w:r>
      <w:r w:rsidR="00F9628E">
        <w:t xml:space="preserve"> and supports</w:t>
      </w:r>
      <w:r w:rsidR="00E4568D">
        <w:t>.</w:t>
      </w:r>
      <w:r w:rsidR="002D0923">
        <w:t xml:space="preserve"> </w:t>
      </w:r>
    </w:p>
    <w:p w14:paraId="35991D4F" w14:textId="5DA070F3" w:rsidR="000D2721" w:rsidRDefault="002D0923" w:rsidP="000D2721">
      <w:pPr>
        <w:pStyle w:val="VLADocumentText"/>
      </w:pPr>
      <w:r w:rsidRPr="00A14281">
        <w:t xml:space="preserve">Distress can be </w:t>
      </w:r>
      <w:r>
        <w:t>minimised</w:t>
      </w:r>
      <w:r w:rsidRPr="00A14281">
        <w:t xml:space="preserve"> by giving evidence under alternative arrangements such as via remote witness facility or in the presence of an emotional support person.</w:t>
      </w:r>
      <w:r w:rsidRPr="00A14281">
        <w:rPr>
          <w:rStyle w:val="FootnoteReference"/>
        </w:rPr>
        <w:footnoteReference w:id="57"/>
      </w:r>
      <w:r w:rsidRPr="00A14281">
        <w:t xml:space="preserve"> </w:t>
      </w:r>
      <w:r w:rsidR="000D2721">
        <w:rPr>
          <w:lang w:eastAsia="en-AU"/>
        </w:rPr>
        <w:t xml:space="preserve">Magistrates are currently empowered to employ </w:t>
      </w:r>
      <w:r w:rsidR="000D2721">
        <w:t xml:space="preserve">alternative arrangements for </w:t>
      </w:r>
      <w:r w:rsidR="00A820A5">
        <w:t xml:space="preserve">complainants and </w:t>
      </w:r>
      <w:r w:rsidR="001B7653">
        <w:t xml:space="preserve">witnesses in </w:t>
      </w:r>
      <w:r w:rsidR="000D2721">
        <w:t>sexual offence cases and cases involving conduct that constitutes family violence. These include various physical interventions such as remote facilities, support people and screens. We support the VLRC’s recommendation that these be made available to a wider group.</w:t>
      </w:r>
      <w:r w:rsidR="000D2721">
        <w:rPr>
          <w:rStyle w:val="FootnoteReference"/>
        </w:rPr>
        <w:footnoteReference w:id="58"/>
      </w:r>
      <w:r w:rsidR="000D2721">
        <w:t xml:space="preserve"> </w:t>
      </w:r>
    </w:p>
    <w:p w14:paraId="30C28B95" w14:textId="24C5DD91" w:rsidR="002D0923" w:rsidRDefault="002D0923" w:rsidP="002D0923">
      <w:pPr>
        <w:pStyle w:val="VLADocumentText"/>
      </w:pPr>
      <w:r>
        <w:t xml:space="preserve">An </w:t>
      </w:r>
      <w:r w:rsidRPr="00A14281">
        <w:t xml:space="preserve">effective scheme to reduce trauma to witnesses has been the use of intermediaries and Ground Rules Hearings. This two-year pilot program was introduced in July 2018 and seeks to match vulnerable witnesses in certain cases with communication specialists called intermediaries to advise on how these witnesses can give their best evidence to investigators and/or the court. At select courts, Ground Rules Hearings can be held, with or without the assistance of an intermediary, to establish ‘ground rules’ for the questioning of vulnerable witnesses, again allowing them to give their best evidence but also to protect them from improper questioning and reduce the stress associated with the court process. </w:t>
      </w:r>
    </w:p>
    <w:p w14:paraId="327197C4" w14:textId="1A17C0DC" w:rsidR="002D0923" w:rsidRPr="00A14281" w:rsidRDefault="002D0923" w:rsidP="002D0923">
      <w:pPr>
        <w:pStyle w:val="VLADocumentText"/>
      </w:pPr>
      <w:r>
        <w:rPr>
          <w:rFonts w:cstheme="minorHAnsi"/>
        </w:rPr>
        <w:t xml:space="preserve">The pilot program </w:t>
      </w:r>
      <w:r w:rsidR="000F303C">
        <w:rPr>
          <w:rFonts w:cstheme="minorHAnsi"/>
        </w:rPr>
        <w:t xml:space="preserve">currently </w:t>
      </w:r>
      <w:r w:rsidR="00944044">
        <w:rPr>
          <w:rFonts w:cstheme="minorHAnsi"/>
        </w:rPr>
        <w:t>provide</w:t>
      </w:r>
      <w:r w:rsidR="000F303C">
        <w:rPr>
          <w:rFonts w:cstheme="minorHAnsi"/>
        </w:rPr>
        <w:t>s for an intermediary</w:t>
      </w:r>
      <w:r w:rsidR="00B5654F">
        <w:rPr>
          <w:rFonts w:cstheme="minorHAnsi"/>
        </w:rPr>
        <w:t xml:space="preserve"> </w:t>
      </w:r>
      <w:r w:rsidR="000F303C">
        <w:rPr>
          <w:rFonts w:cstheme="minorHAnsi"/>
        </w:rPr>
        <w:t xml:space="preserve">only for </w:t>
      </w:r>
      <w:r>
        <w:rPr>
          <w:rFonts w:cstheme="minorHAnsi"/>
        </w:rPr>
        <w:t xml:space="preserve">children in homicide cases and complainants in </w:t>
      </w:r>
      <w:r w:rsidR="00944044">
        <w:rPr>
          <w:rFonts w:cstheme="minorHAnsi"/>
        </w:rPr>
        <w:t>sex</w:t>
      </w:r>
      <w:r w:rsidR="00B90682">
        <w:rPr>
          <w:rFonts w:cstheme="minorHAnsi"/>
        </w:rPr>
        <w:t>ual offence</w:t>
      </w:r>
      <w:r>
        <w:rPr>
          <w:rFonts w:cstheme="minorHAnsi"/>
        </w:rPr>
        <w:t xml:space="preserve"> cases </w:t>
      </w:r>
      <w:r w:rsidR="00C06FEC">
        <w:rPr>
          <w:rFonts w:cstheme="minorHAnsi"/>
        </w:rPr>
        <w:t xml:space="preserve">if </w:t>
      </w:r>
      <w:r>
        <w:rPr>
          <w:rFonts w:cstheme="minorHAnsi"/>
        </w:rPr>
        <w:t xml:space="preserve">they are a child or cognitively impaired. </w:t>
      </w:r>
      <w:r w:rsidR="00FF0408">
        <w:rPr>
          <w:rFonts w:cstheme="minorHAnsi"/>
        </w:rPr>
        <w:t xml:space="preserve">In our view, </w:t>
      </w:r>
      <w:r w:rsidR="000F303C">
        <w:rPr>
          <w:rFonts w:cstheme="minorHAnsi"/>
        </w:rPr>
        <w:t xml:space="preserve">this </w:t>
      </w:r>
      <w:r>
        <w:rPr>
          <w:rFonts w:cstheme="minorHAnsi"/>
        </w:rPr>
        <w:t xml:space="preserve">could be expanded beyond the current restricted cohort, providing </w:t>
      </w:r>
      <w:r w:rsidR="000F303C">
        <w:rPr>
          <w:rFonts w:cstheme="minorHAnsi"/>
        </w:rPr>
        <w:t xml:space="preserve">assistance </w:t>
      </w:r>
      <w:r>
        <w:rPr>
          <w:rFonts w:cstheme="minorHAnsi"/>
        </w:rPr>
        <w:t xml:space="preserve">for a greater </w:t>
      </w:r>
      <w:r>
        <w:rPr>
          <w:rFonts w:cstheme="minorHAnsi"/>
        </w:rPr>
        <w:lastRenderedPageBreak/>
        <w:t xml:space="preserve">range of complainants and witnesses. </w:t>
      </w:r>
      <w:r w:rsidRPr="00A14281">
        <w:t xml:space="preserve">VLA </w:t>
      </w:r>
      <w:r>
        <w:t>suggests</w:t>
      </w:r>
      <w:r w:rsidRPr="00A14281">
        <w:t xml:space="preserve"> that this scheme be expanded to all court locations and be used within the existing criminal </w:t>
      </w:r>
      <w:r w:rsidR="000066A8">
        <w:t>process</w:t>
      </w:r>
      <w:r w:rsidRPr="00A14281">
        <w:t xml:space="preserve">. </w:t>
      </w:r>
    </w:p>
    <w:p w14:paraId="4AD7FC5D" w14:textId="4FD8A3CA" w:rsidR="002D0923" w:rsidRDefault="00633B81" w:rsidP="002D0923">
      <w:pPr>
        <w:pStyle w:val="VLADocumentText"/>
        <w:rPr>
          <w:color w:val="000000"/>
          <w:lang w:eastAsia="en-AU"/>
        </w:rPr>
      </w:pPr>
      <w:r w:rsidRPr="0ECAAAE2">
        <w:rPr>
          <w:rFonts w:cstheme="minorBidi"/>
        </w:rPr>
        <w:t>Examples</w:t>
      </w:r>
      <w:r w:rsidR="006C35D4">
        <w:rPr>
          <w:rFonts w:cstheme="minorBidi"/>
        </w:rPr>
        <w:t xml:space="preserve"> of cohorts of witnesses to which the scheme could be extended include</w:t>
      </w:r>
      <w:r w:rsidR="00A820A5">
        <w:rPr>
          <w:rFonts w:cstheme="minorBidi"/>
        </w:rPr>
        <w:t xml:space="preserve"> </w:t>
      </w:r>
      <w:r w:rsidR="002D0923" w:rsidRPr="0ECAAAE2">
        <w:rPr>
          <w:rFonts w:cstheme="minorBidi"/>
        </w:rPr>
        <w:t xml:space="preserve">complainants with vulnerabilities, complainants in family violence matters, </w:t>
      </w:r>
      <w:r w:rsidR="000F303C">
        <w:rPr>
          <w:rFonts w:cstheme="minorBidi"/>
        </w:rPr>
        <w:t xml:space="preserve">witnesses </w:t>
      </w:r>
      <w:r w:rsidR="002D0923" w:rsidRPr="0ECAAAE2">
        <w:rPr>
          <w:rFonts w:cstheme="minorBidi"/>
        </w:rPr>
        <w:t xml:space="preserve">with significant cognitive disabilities or mental health issues, limited </w:t>
      </w:r>
      <w:r w:rsidR="00E020F0">
        <w:rPr>
          <w:rFonts w:cstheme="minorBidi"/>
        </w:rPr>
        <w:t>e</w:t>
      </w:r>
      <w:r w:rsidR="002D0923" w:rsidRPr="0ECAAAE2">
        <w:rPr>
          <w:rFonts w:cstheme="minorBidi"/>
        </w:rPr>
        <w:t xml:space="preserve">nglish or from a vulnerable community, or from offending of a type likely to involve particular </w:t>
      </w:r>
      <w:r w:rsidR="002D0923" w:rsidRPr="00944044">
        <w:rPr>
          <w:rFonts w:cstheme="minorBidi"/>
        </w:rPr>
        <w:t xml:space="preserve">trauma. </w:t>
      </w:r>
      <w:r w:rsidR="002D0923" w:rsidRPr="00944044">
        <w:rPr>
          <w:color w:val="000000"/>
          <w:lang w:eastAsia="en-AU"/>
        </w:rPr>
        <w:t xml:space="preserve">Were the scope of ground rules hearings to be expanded, the </w:t>
      </w:r>
      <w:r w:rsidR="002D0923" w:rsidRPr="00944044">
        <w:rPr>
          <w:iCs/>
          <w:color w:val="000000"/>
          <w:lang w:eastAsia="en-AU"/>
        </w:rPr>
        <w:t>Criminal Procedure Act</w:t>
      </w:r>
      <w:r w:rsidR="002D0923" w:rsidRPr="00944044">
        <w:rPr>
          <w:color w:val="000000"/>
          <w:lang w:eastAsia="en-AU"/>
        </w:rPr>
        <w:t xml:space="preserve"> currently provides for the </w:t>
      </w:r>
      <w:r w:rsidR="00E020F0">
        <w:rPr>
          <w:color w:val="000000"/>
          <w:lang w:eastAsia="en-AU"/>
        </w:rPr>
        <w:t>c</w:t>
      </w:r>
      <w:r w:rsidR="002D0923" w:rsidRPr="00944044">
        <w:rPr>
          <w:color w:val="000000"/>
          <w:lang w:eastAsia="en-AU"/>
        </w:rPr>
        <w:t>ourt to direct a ground rules hearing on the application of a party</w:t>
      </w:r>
      <w:r w:rsidR="002D0923">
        <w:rPr>
          <w:color w:val="000000"/>
          <w:lang w:eastAsia="en-AU"/>
        </w:rPr>
        <w:t xml:space="preserve"> or its own motion.</w:t>
      </w:r>
      <w:r w:rsidR="002D0923">
        <w:rPr>
          <w:rStyle w:val="FootnoteReference"/>
          <w:color w:val="000000"/>
          <w:lang w:eastAsia="en-AU"/>
        </w:rPr>
        <w:footnoteReference w:id="59"/>
      </w:r>
      <w:r w:rsidR="002D0923">
        <w:rPr>
          <w:color w:val="000000"/>
          <w:lang w:eastAsia="en-AU"/>
        </w:rPr>
        <w:t xml:space="preserve"> It is submitted that greater curial intervention and application of this mechanism can mitigate some of the concern surrounding trauma without interfering with the rights of a fair trial. </w:t>
      </w:r>
    </w:p>
    <w:p w14:paraId="01E78BFF" w14:textId="0E31DD24" w:rsidR="00633B81" w:rsidRPr="00E44D59" w:rsidRDefault="00633B81" w:rsidP="00F208F8">
      <w:pPr>
        <w:pStyle w:val="Heading1"/>
      </w:pPr>
      <w:bookmarkStart w:id="91" w:name="_Toc17050691"/>
      <w:bookmarkStart w:id="92" w:name="_Toc17155105"/>
      <w:r w:rsidRPr="00E44D59">
        <w:t>Question 10. If cross-examination at a committal hearing is further restricted, how should this occur?</w:t>
      </w:r>
      <w:bookmarkEnd w:id="91"/>
      <w:bookmarkEnd w:id="92"/>
      <w:r w:rsidRPr="00E44D59">
        <w:t xml:space="preserve"> </w:t>
      </w:r>
    </w:p>
    <w:p w14:paraId="4962F811" w14:textId="5C145034" w:rsidR="007A0264" w:rsidRDefault="008A57D4" w:rsidP="00D91928">
      <w:pPr>
        <w:pStyle w:val="VLADocumentText"/>
      </w:pPr>
      <w:r>
        <w:t>In our experience</w:t>
      </w:r>
      <w:r w:rsidR="007A0264">
        <w:t>,</w:t>
      </w:r>
      <w:r>
        <w:t xml:space="preserve"> the existing restrictions on cross-examination</w:t>
      </w:r>
      <w:r w:rsidR="007A0264">
        <w:t xml:space="preserve"> in certain matters</w:t>
      </w:r>
      <w:r>
        <w:t xml:space="preserve">, in combination with the properly applied discretion to grant leave to cross examination, </w:t>
      </w:r>
      <w:r w:rsidR="007A0264">
        <w:t>are effective in protecting the needs of complainants and witnesses. In our submission, cross-examination should not be further restricted.</w:t>
      </w:r>
    </w:p>
    <w:p w14:paraId="7614072C" w14:textId="60CE0835" w:rsidR="008A57D4" w:rsidRDefault="007A0264" w:rsidP="00987E03">
      <w:pPr>
        <w:pStyle w:val="VLADocumentText"/>
      </w:pPr>
      <w:r>
        <w:t xml:space="preserve">Where properly applied, the test </w:t>
      </w:r>
      <w:r w:rsidR="008A57D4">
        <w:t>ensure</w:t>
      </w:r>
      <w:r>
        <w:t>s</w:t>
      </w:r>
      <w:r w:rsidR="008A57D4">
        <w:t xml:space="preserve"> that witnesses are only cross-examined </w:t>
      </w:r>
      <w:r w:rsidR="00B50CAD">
        <w:t xml:space="preserve">where </w:t>
      </w:r>
      <w:r w:rsidR="008A57D4">
        <w:t xml:space="preserve">the judicial officer is satisfied that the cross-examination is appropriate and necessary. The accused is currently required to provide detail on the specific issue which will be the subject of cross-examination, the relevance of the witness to this issue and justification on why they should be cross-examined. </w:t>
      </w:r>
      <w:r w:rsidR="00D6798E">
        <w:t xml:space="preserve">As noted above in </w:t>
      </w:r>
      <w:r w:rsidR="0085392E" w:rsidRPr="0085392E">
        <w:rPr>
          <w:b/>
        </w:rPr>
        <w:t xml:space="preserve">Question </w:t>
      </w:r>
      <w:r w:rsidR="00D6798E" w:rsidRPr="0085392E">
        <w:rPr>
          <w:b/>
        </w:rPr>
        <w:t>9</w:t>
      </w:r>
      <w:r w:rsidR="00D6798E">
        <w:t xml:space="preserve">, further restricting the test for granting leave risks undermining the purposes of committals. </w:t>
      </w:r>
    </w:p>
    <w:p w14:paraId="458634CD" w14:textId="1345B9DC" w:rsidR="00633B81" w:rsidRPr="00E44D59" w:rsidRDefault="00633B81" w:rsidP="00F208F8">
      <w:pPr>
        <w:pStyle w:val="Heading1"/>
      </w:pPr>
      <w:bookmarkStart w:id="93" w:name="_Toc17050692"/>
      <w:bookmarkStart w:id="94" w:name="_Toc17155106"/>
      <w:r w:rsidRPr="00E44D59">
        <w:t>Question 11. Are there any additional classes of victims or witnesses who should not be cross-examined pre-trial? If so who?</w:t>
      </w:r>
      <w:bookmarkEnd w:id="93"/>
      <w:bookmarkEnd w:id="94"/>
    </w:p>
    <w:p w14:paraId="48A46D52" w14:textId="6268AEB5" w:rsidR="00633B81" w:rsidRDefault="003322B9" w:rsidP="00633B81">
      <w:pPr>
        <w:pStyle w:val="VLADocumentText"/>
      </w:pPr>
      <w:r>
        <w:t>VLA does not support the specification of additional classes of victims that are restricted from cross examination at committal.</w:t>
      </w:r>
      <w:r w:rsidR="008A57D4">
        <w:t xml:space="preserve"> </w:t>
      </w:r>
      <w:r w:rsidR="008602D6">
        <w:t>The</w:t>
      </w:r>
      <w:r w:rsidR="00633B81" w:rsidRPr="001D42B7">
        <w:t xml:space="preserve"> existing discretion under the Criminal Procedure Act for </w:t>
      </w:r>
      <w:r w:rsidR="00633B81">
        <w:t>m</w:t>
      </w:r>
      <w:r w:rsidR="00633B81" w:rsidRPr="001D42B7">
        <w:t xml:space="preserve">agistrates to </w:t>
      </w:r>
      <w:r w:rsidR="00633B81">
        <w:t>refuse</w:t>
      </w:r>
      <w:r w:rsidR="00633B81" w:rsidRPr="001D42B7">
        <w:t xml:space="preserve"> cross-examination is a sufficient safeguard</w:t>
      </w:r>
      <w:r w:rsidR="00633B81">
        <w:t xml:space="preserve"> for all classes of complainants</w:t>
      </w:r>
      <w:r w:rsidR="008A57D4">
        <w:t>,</w:t>
      </w:r>
      <w:r w:rsidR="00633B81">
        <w:t xml:space="preserve"> as the court can take </w:t>
      </w:r>
      <w:r w:rsidR="0075710D">
        <w:t xml:space="preserve">the </w:t>
      </w:r>
      <w:r w:rsidR="00633B81">
        <w:t xml:space="preserve">circumstances </w:t>
      </w:r>
      <w:r w:rsidR="0075710D">
        <w:t>of the case</w:t>
      </w:r>
      <w:r w:rsidR="00633B81">
        <w:t xml:space="preserve"> into account</w:t>
      </w:r>
      <w:r w:rsidR="00633B81" w:rsidRPr="001D42B7">
        <w:t>.</w:t>
      </w:r>
      <w:r w:rsidR="00633B81" w:rsidRPr="001D42B7">
        <w:rPr>
          <w:rStyle w:val="FootnoteReference"/>
        </w:rPr>
        <w:footnoteReference w:id="60"/>
      </w:r>
      <w:r w:rsidR="00633B81" w:rsidRPr="001D42B7">
        <w:t xml:space="preserve"> </w:t>
      </w:r>
      <w:r w:rsidR="00633B81">
        <w:t>T</w:t>
      </w:r>
      <w:r w:rsidR="00633B81" w:rsidRPr="002F27DB">
        <w:t xml:space="preserve">here are </w:t>
      </w:r>
      <w:r w:rsidR="00633B81">
        <w:t xml:space="preserve">also </w:t>
      </w:r>
      <w:r w:rsidR="00633B81" w:rsidRPr="002F27DB">
        <w:t xml:space="preserve">sufficient protective mechanisms in place to </w:t>
      </w:r>
      <w:r w:rsidR="007C4076">
        <w:t xml:space="preserve">support </w:t>
      </w:r>
      <w:r w:rsidR="0075710D">
        <w:t xml:space="preserve">vulnerable witnesses </w:t>
      </w:r>
      <w:r w:rsidR="007C4076">
        <w:t xml:space="preserve">to </w:t>
      </w:r>
      <w:r w:rsidR="00633B81">
        <w:t>giv</w:t>
      </w:r>
      <w:r w:rsidR="007C4076">
        <w:t>e</w:t>
      </w:r>
      <w:r w:rsidR="00633B81">
        <w:t xml:space="preserve"> evidence, including </w:t>
      </w:r>
      <w:r w:rsidR="00633B81" w:rsidRPr="002F27DB">
        <w:t xml:space="preserve">remote witness facilities and </w:t>
      </w:r>
      <w:r w:rsidR="00633B81">
        <w:t>the availability of alternative arrangements</w:t>
      </w:r>
      <w:r w:rsidR="00633B81" w:rsidRPr="002F27DB">
        <w:t>.</w:t>
      </w:r>
    </w:p>
    <w:p w14:paraId="6702BC40" w14:textId="5ADC0B6F" w:rsidR="00633B81" w:rsidRPr="001D42B7" w:rsidRDefault="00D70E73" w:rsidP="00633B81">
      <w:pPr>
        <w:pStyle w:val="VLADocumentText"/>
      </w:pPr>
      <w:r>
        <w:t xml:space="preserve">The current arrangements recognise that giving evidence can be particularly difficult </w:t>
      </w:r>
      <w:r w:rsidR="00434F39">
        <w:t xml:space="preserve">or traumatic </w:t>
      </w:r>
      <w:r w:rsidR="00A56CAF">
        <w:t xml:space="preserve">for </w:t>
      </w:r>
      <w:r w:rsidR="00633B81" w:rsidRPr="002F27DB">
        <w:t>chil</w:t>
      </w:r>
      <w:r w:rsidR="00633B81" w:rsidRPr="005F4222">
        <w:t>d</w:t>
      </w:r>
      <w:r w:rsidR="00633B81" w:rsidRPr="0032375C">
        <w:t xml:space="preserve"> and</w:t>
      </w:r>
      <w:r w:rsidR="00633B81" w:rsidRPr="00AD63A2">
        <w:t xml:space="preserve"> cognitively impaired </w:t>
      </w:r>
      <w:r w:rsidR="00633B81" w:rsidRPr="00D767D5">
        <w:t xml:space="preserve">adult </w:t>
      </w:r>
      <w:r w:rsidR="00633B81" w:rsidRPr="004F111F">
        <w:t>complainants in sexual offences</w:t>
      </w:r>
      <w:r w:rsidR="00633B81">
        <w:rPr>
          <w:rStyle w:val="FootnoteReference"/>
        </w:rPr>
        <w:footnoteReference w:id="61"/>
      </w:r>
      <w:r w:rsidR="00633B81" w:rsidRPr="000B1AB1">
        <w:t xml:space="preserve">. </w:t>
      </w:r>
      <w:r w:rsidR="00633B81" w:rsidRPr="00CC0212">
        <w:t xml:space="preserve">VLA </w:t>
      </w:r>
      <w:r w:rsidR="00633B81">
        <w:t xml:space="preserve">also recognises </w:t>
      </w:r>
      <w:r w:rsidR="00633B81" w:rsidRPr="00CC0212">
        <w:t xml:space="preserve">that </w:t>
      </w:r>
      <w:r w:rsidR="00434F39">
        <w:t xml:space="preserve">the experience of giving evidence can be challenging for </w:t>
      </w:r>
      <w:r w:rsidR="00633B81" w:rsidRPr="00CC0212">
        <w:t xml:space="preserve">child witnesses </w:t>
      </w:r>
      <w:r w:rsidR="006F2FA3">
        <w:t xml:space="preserve">more </w:t>
      </w:r>
      <w:r w:rsidR="00633B81" w:rsidRPr="00CC0212">
        <w:t>generally</w:t>
      </w:r>
      <w:r w:rsidR="006F2FA3">
        <w:t xml:space="preserve"> due to their age, experience and vulnerability</w:t>
      </w:r>
      <w:r w:rsidR="00633B81" w:rsidRPr="00CC0212">
        <w:t>.</w:t>
      </w:r>
      <w:r w:rsidR="00633B81" w:rsidRPr="00F14EB7">
        <w:t xml:space="preserve"> </w:t>
      </w:r>
      <w:r w:rsidR="00633B81" w:rsidRPr="0ECAAAE2">
        <w:rPr>
          <w:rFonts w:cstheme="minorBidi"/>
          <w:color w:val="000000"/>
          <w:lang w:eastAsia="en-AU"/>
        </w:rPr>
        <w:t xml:space="preserve">However, </w:t>
      </w:r>
      <w:r w:rsidR="002A695F">
        <w:rPr>
          <w:rFonts w:cstheme="minorBidi"/>
          <w:color w:val="000000"/>
          <w:lang w:eastAsia="en-AU"/>
        </w:rPr>
        <w:t xml:space="preserve">we consider that </w:t>
      </w:r>
      <w:r w:rsidR="00633B81" w:rsidRPr="0ECAAAE2">
        <w:rPr>
          <w:rFonts w:cstheme="minorBidi"/>
          <w:color w:val="000000"/>
          <w:lang w:eastAsia="en-AU"/>
        </w:rPr>
        <w:t xml:space="preserve">this class of witness is </w:t>
      </w:r>
      <w:r w:rsidR="002A695F">
        <w:rPr>
          <w:rFonts w:cstheme="minorBidi"/>
          <w:color w:val="000000"/>
          <w:lang w:eastAsia="en-AU"/>
        </w:rPr>
        <w:t xml:space="preserve">already </w:t>
      </w:r>
      <w:r w:rsidR="00633B81" w:rsidRPr="0ECAAAE2">
        <w:rPr>
          <w:rFonts w:cstheme="minorBidi"/>
          <w:color w:val="000000"/>
          <w:lang w:eastAsia="en-AU"/>
        </w:rPr>
        <w:t>protected by the application of s</w:t>
      </w:r>
      <w:r w:rsidR="008A57D4">
        <w:rPr>
          <w:rFonts w:cstheme="minorBidi"/>
          <w:color w:val="000000"/>
          <w:lang w:eastAsia="en-AU"/>
        </w:rPr>
        <w:t xml:space="preserve">ection </w:t>
      </w:r>
      <w:r w:rsidR="00633B81" w:rsidRPr="0ECAAAE2">
        <w:rPr>
          <w:rFonts w:cstheme="minorBidi"/>
          <w:color w:val="000000"/>
          <w:lang w:eastAsia="en-AU"/>
        </w:rPr>
        <w:t>124(5) of the C</w:t>
      </w:r>
      <w:r w:rsidR="008A57D4">
        <w:rPr>
          <w:rFonts w:cstheme="minorBidi"/>
          <w:color w:val="000000"/>
          <w:lang w:eastAsia="en-AU"/>
        </w:rPr>
        <w:t xml:space="preserve">riminal </w:t>
      </w:r>
      <w:r w:rsidR="00633B81" w:rsidRPr="0ECAAAE2">
        <w:rPr>
          <w:rFonts w:cstheme="minorBidi"/>
          <w:color w:val="000000"/>
          <w:lang w:eastAsia="en-AU"/>
        </w:rPr>
        <w:t>P</w:t>
      </w:r>
      <w:r w:rsidR="008A57D4">
        <w:rPr>
          <w:rFonts w:cstheme="minorBidi"/>
          <w:color w:val="000000"/>
          <w:lang w:eastAsia="en-AU"/>
        </w:rPr>
        <w:t xml:space="preserve">rocedure </w:t>
      </w:r>
      <w:r w:rsidR="00633B81" w:rsidRPr="0ECAAAE2">
        <w:rPr>
          <w:rFonts w:cstheme="minorBidi"/>
          <w:color w:val="000000"/>
          <w:lang w:eastAsia="en-AU"/>
        </w:rPr>
        <w:t>A</w:t>
      </w:r>
      <w:r w:rsidR="008A57D4">
        <w:rPr>
          <w:rFonts w:cstheme="minorBidi"/>
          <w:color w:val="000000"/>
          <w:lang w:eastAsia="en-AU"/>
        </w:rPr>
        <w:t>ct</w:t>
      </w:r>
      <w:r w:rsidR="00095EFC">
        <w:rPr>
          <w:rFonts w:cstheme="minorBidi"/>
          <w:color w:val="000000"/>
          <w:lang w:eastAsia="en-AU"/>
        </w:rPr>
        <w:t xml:space="preserve"> and our experience is that </w:t>
      </w:r>
      <w:r w:rsidR="00633B81" w:rsidRPr="001D42B7">
        <w:t>the court does not grant leave to cross-examine child witnesses except in rare and exceptional cases.</w:t>
      </w:r>
      <w:r w:rsidR="00633B81">
        <w:t xml:space="preserve"> </w:t>
      </w:r>
    </w:p>
    <w:p w14:paraId="6EFCDECE" w14:textId="20075364" w:rsidR="00633B81" w:rsidRDefault="00633B81" w:rsidP="00633B81">
      <w:pPr>
        <w:pStyle w:val="VLADocumentText"/>
      </w:pPr>
      <w:r w:rsidRPr="002F27DB">
        <w:lastRenderedPageBreak/>
        <w:t xml:space="preserve">VLA </w:t>
      </w:r>
      <w:r>
        <w:t>proposes the expansion and greater application of a</w:t>
      </w:r>
      <w:r w:rsidRPr="002F27DB">
        <w:t xml:space="preserve">lternatives </w:t>
      </w:r>
      <w:r>
        <w:t>processes</w:t>
      </w:r>
      <w:r w:rsidRPr="002F27DB">
        <w:t xml:space="preserve"> such a</w:t>
      </w:r>
      <w:r>
        <w:t>s</w:t>
      </w:r>
      <w:r w:rsidRPr="002F27DB">
        <w:t xml:space="preserve"> ground rules </w:t>
      </w:r>
      <w:r>
        <w:t>hearings</w:t>
      </w:r>
      <w:r w:rsidR="00BD41D7">
        <w:t>,</w:t>
      </w:r>
      <w:r>
        <w:t xml:space="preserve"> which can establish parameters on cross-examination </w:t>
      </w:r>
      <w:r w:rsidR="00820645">
        <w:t xml:space="preserve">that </w:t>
      </w:r>
      <w:r>
        <w:t xml:space="preserve">have been demonstrated to </w:t>
      </w:r>
      <w:r w:rsidRPr="002F27DB">
        <w:t xml:space="preserve">reduce the trauma for certain </w:t>
      </w:r>
      <w:r w:rsidR="00BD41D7">
        <w:t xml:space="preserve">witnesses </w:t>
      </w:r>
      <w:r w:rsidRPr="002F27DB">
        <w:t>without diminishing fairness</w:t>
      </w:r>
      <w:r>
        <w:t>. While the program in Victoria is still a pilot, it based on proven models in New Zealand and the United Kingdom</w:t>
      </w:r>
      <w:r w:rsidRPr="002F27DB">
        <w:t xml:space="preserve">. </w:t>
      </w:r>
    </w:p>
    <w:p w14:paraId="492FC486" w14:textId="5416D95A" w:rsidR="00226071" w:rsidRPr="00C05F6E" w:rsidRDefault="00633B81" w:rsidP="00633B81">
      <w:pPr>
        <w:pStyle w:val="VLADocumentText"/>
      </w:pPr>
      <w:r>
        <w:t xml:space="preserve">If the Commission takes </w:t>
      </w:r>
      <w:r w:rsidRPr="00125EE3">
        <w:t>a different view and is concerned with the impact of giving evidence at committal for particular categories of complainants, we would submit that the prohibition on cross-examination be extended</w:t>
      </w:r>
      <w:r w:rsidR="00987E03" w:rsidRPr="00125EE3">
        <w:t>,</w:t>
      </w:r>
      <w:r w:rsidRPr="00125EE3">
        <w:t xml:space="preserve"> </w:t>
      </w:r>
      <w:r w:rsidR="00BD5C85" w:rsidRPr="00125EE3">
        <w:t>taking into account the</w:t>
      </w:r>
      <w:r w:rsidR="00B5746C" w:rsidRPr="00125EE3">
        <w:t xml:space="preserve"> impact of the changes on early resolution in particular, </w:t>
      </w:r>
      <w:r w:rsidRPr="00125EE3">
        <w:t xml:space="preserve">rather than </w:t>
      </w:r>
      <w:r w:rsidR="00BD41D7" w:rsidRPr="00125EE3">
        <w:t>the</w:t>
      </w:r>
      <w:r w:rsidRPr="00125EE3">
        <w:t xml:space="preserve"> alternative of prohibiting all committal proceeding cross-examination in all cases.</w:t>
      </w:r>
    </w:p>
    <w:p w14:paraId="70CE21BA" w14:textId="0D337CDA" w:rsidR="00633B81" w:rsidRPr="00E44D59" w:rsidRDefault="00633B81" w:rsidP="00F208F8">
      <w:pPr>
        <w:pStyle w:val="Heading1"/>
      </w:pPr>
      <w:bookmarkStart w:id="95" w:name="_Toc17050693"/>
      <w:bookmarkStart w:id="96" w:name="_Toc17155107"/>
      <w:r w:rsidRPr="00E44D59">
        <w:t>Question 12. What additional measures could be introduced to reduce trauma for victims or other vulnerable witnesses when giving evidence or being cross-examined at a committal or other pre-trial hearing?</w:t>
      </w:r>
      <w:bookmarkEnd w:id="95"/>
      <w:bookmarkEnd w:id="96"/>
    </w:p>
    <w:p w14:paraId="422B3BF6" w14:textId="30E40A3C" w:rsidR="006D6910" w:rsidRDefault="006D6910" w:rsidP="00120D64">
      <w:pPr>
        <w:pStyle w:val="VLADocumentText"/>
      </w:pPr>
      <w:r>
        <w:t xml:space="preserve">VLA </w:t>
      </w:r>
      <w:r w:rsidR="00120D64">
        <w:t>support</w:t>
      </w:r>
      <w:r>
        <w:t>s</w:t>
      </w:r>
      <w:r w:rsidR="00120D64">
        <w:t xml:space="preserve"> the continued availability of cross</w:t>
      </w:r>
      <w:r w:rsidR="00222D29">
        <w:t>-</w:t>
      </w:r>
      <w:r w:rsidR="00120D64">
        <w:t>examination of victims and witnesses in committal proceedings</w:t>
      </w:r>
      <w:r w:rsidR="00CF4287">
        <w:t>,</w:t>
      </w:r>
      <w:r w:rsidR="006A5B8D">
        <w:t xml:space="preserve"> with enhanced support</w:t>
      </w:r>
      <w:r w:rsidR="00CF4287">
        <w:t xml:space="preserve"> with a view to minimising distress</w:t>
      </w:r>
      <w:r w:rsidR="00120D64">
        <w:t xml:space="preserve">. </w:t>
      </w:r>
    </w:p>
    <w:p w14:paraId="1E9DE4FA" w14:textId="292E8D3C" w:rsidR="00120D64" w:rsidRDefault="00120D64" w:rsidP="00120D64">
      <w:pPr>
        <w:pStyle w:val="VLADocumentText"/>
      </w:pPr>
      <w:r>
        <w:t xml:space="preserve">As noted above in </w:t>
      </w:r>
      <w:r w:rsidRPr="008A57D4">
        <w:t xml:space="preserve">response to </w:t>
      </w:r>
      <w:r w:rsidR="0085392E" w:rsidRPr="0085392E">
        <w:rPr>
          <w:b/>
        </w:rPr>
        <w:t>Question</w:t>
      </w:r>
      <w:r w:rsidRPr="0085392E">
        <w:rPr>
          <w:b/>
        </w:rPr>
        <w:t xml:space="preserve">s </w:t>
      </w:r>
      <w:r w:rsidR="008A57D4" w:rsidRPr="0085392E">
        <w:rPr>
          <w:b/>
        </w:rPr>
        <w:t>7</w:t>
      </w:r>
      <w:r w:rsidRPr="0085392E">
        <w:rPr>
          <w:b/>
        </w:rPr>
        <w:t xml:space="preserve"> and </w:t>
      </w:r>
      <w:r w:rsidR="008A57D4" w:rsidRPr="0085392E">
        <w:rPr>
          <w:b/>
        </w:rPr>
        <w:t>8</w:t>
      </w:r>
      <w:r w:rsidRPr="008A57D4">
        <w:t>,</w:t>
      </w:r>
      <w:r>
        <w:t xml:space="preserve"> the testing of the prosecution evidence at a committal proceeding can support an early resolution of the criminal charges. This can limit the need for a trial and </w:t>
      </w:r>
      <w:r w:rsidR="00412B6F">
        <w:t xml:space="preserve">alleviate any </w:t>
      </w:r>
      <w:r>
        <w:t xml:space="preserve">protracted involvement in the criminal justice system. </w:t>
      </w:r>
      <w:r w:rsidR="00B241E6">
        <w:t>Furthermore, as discussed above, suitably experienced m</w:t>
      </w:r>
      <w:r w:rsidR="00B241E6" w:rsidRPr="00B44F71">
        <w:t>agistrates</w:t>
      </w:r>
      <w:r w:rsidR="00B241E6">
        <w:t xml:space="preserve"> can </w:t>
      </w:r>
      <w:r w:rsidR="00B241E6" w:rsidRPr="00B44F71">
        <w:t xml:space="preserve">ensure questioning is </w:t>
      </w:r>
      <w:r w:rsidR="00B241E6">
        <w:t xml:space="preserve">relevant and </w:t>
      </w:r>
      <w:r w:rsidR="00412B6F">
        <w:t xml:space="preserve">confined, </w:t>
      </w:r>
      <w:r w:rsidR="00B241E6">
        <w:t xml:space="preserve">and prosecutors have the ability to object to questions </w:t>
      </w:r>
      <w:r w:rsidR="00263DA4">
        <w:t xml:space="preserve">which </w:t>
      </w:r>
      <w:r w:rsidR="00B241E6">
        <w:t xml:space="preserve">are improper or beyond scope. </w:t>
      </w:r>
    </w:p>
    <w:p w14:paraId="03CCD0EE" w14:textId="1895F261" w:rsidR="008A4C1B" w:rsidRDefault="008A4C1B" w:rsidP="008A4C1B">
      <w:pPr>
        <w:pStyle w:val="VLADocumentText"/>
        <w:rPr>
          <w:color w:val="000000"/>
          <w:lang w:eastAsia="en-AU"/>
        </w:rPr>
      </w:pPr>
      <w:r>
        <w:t xml:space="preserve">VLA supports </w:t>
      </w:r>
      <w:r w:rsidR="00120D64">
        <w:t xml:space="preserve">recent reforms that have introduced </w:t>
      </w:r>
      <w:r>
        <w:t xml:space="preserve">protective mechanisms to ensure complainants and witnesses are supported through the criminal justice process. Ground rules hearings and intermediaries are an example of recent </w:t>
      </w:r>
      <w:r w:rsidR="00550124">
        <w:t xml:space="preserve">reforms </w:t>
      </w:r>
      <w:r>
        <w:t xml:space="preserve">which assist complainants and witnesses </w:t>
      </w:r>
      <w:r w:rsidR="00550124">
        <w:t xml:space="preserve">to participate in the process </w:t>
      </w:r>
      <w:r>
        <w:t>and reduce trauma.</w:t>
      </w:r>
      <w:r w:rsidR="00C7321C">
        <w:t xml:space="preserve"> </w:t>
      </w:r>
      <w:r>
        <w:rPr>
          <w:rFonts w:cstheme="minorHAnsi"/>
          <w:color w:val="000000"/>
          <w:lang w:eastAsia="en-AU"/>
        </w:rPr>
        <w:t xml:space="preserve">An evaluation of the pilot intermediaries program found that </w:t>
      </w:r>
      <w:r w:rsidR="00E328B5">
        <w:rPr>
          <w:lang w:eastAsia="en-AU"/>
        </w:rPr>
        <w:t xml:space="preserve">witnesses </w:t>
      </w:r>
      <w:r>
        <w:rPr>
          <w:lang w:eastAsia="en-AU"/>
        </w:rPr>
        <w:t xml:space="preserve">found the </w:t>
      </w:r>
      <w:r w:rsidRPr="00B44F71">
        <w:rPr>
          <w:lang w:eastAsia="en-AU"/>
        </w:rPr>
        <w:t>process less confusing and intimidating</w:t>
      </w:r>
      <w:r>
        <w:rPr>
          <w:lang w:eastAsia="en-AU"/>
        </w:rPr>
        <w:t>.</w:t>
      </w:r>
      <w:r>
        <w:rPr>
          <w:color w:val="000000"/>
          <w:lang w:eastAsia="en-AU"/>
        </w:rPr>
        <w:t xml:space="preserve"> </w:t>
      </w:r>
      <w:r w:rsidR="00550124">
        <w:rPr>
          <w:color w:val="000000"/>
          <w:lang w:eastAsia="en-AU"/>
        </w:rPr>
        <w:t xml:space="preserve">VLA supports the expansion </w:t>
      </w:r>
      <w:r w:rsidR="003243EB">
        <w:rPr>
          <w:color w:val="000000"/>
          <w:lang w:eastAsia="en-AU"/>
        </w:rPr>
        <w:t xml:space="preserve">of the use of intermediaries and the extension of </w:t>
      </w:r>
      <w:r w:rsidR="006D6910">
        <w:rPr>
          <w:color w:val="000000"/>
          <w:lang w:eastAsia="en-AU"/>
        </w:rPr>
        <w:t>is</w:t>
      </w:r>
      <w:r w:rsidR="00D55AEF">
        <w:rPr>
          <w:color w:val="000000"/>
          <w:lang w:eastAsia="en-AU"/>
        </w:rPr>
        <w:t xml:space="preserve"> </w:t>
      </w:r>
      <w:r w:rsidR="003243EB">
        <w:rPr>
          <w:color w:val="000000"/>
          <w:lang w:eastAsia="en-AU"/>
        </w:rPr>
        <w:t>th</w:t>
      </w:r>
      <w:r w:rsidR="006D6910">
        <w:rPr>
          <w:color w:val="000000"/>
          <w:lang w:eastAsia="en-AU"/>
        </w:rPr>
        <w:t>is</w:t>
      </w:r>
      <w:r w:rsidR="003243EB">
        <w:rPr>
          <w:color w:val="000000"/>
          <w:lang w:eastAsia="en-AU"/>
        </w:rPr>
        <w:t xml:space="preserve"> successful pilot program. </w:t>
      </w:r>
    </w:p>
    <w:p w14:paraId="2EF0E05F" w14:textId="7C991A61" w:rsidR="00633B81" w:rsidRDefault="00120D64" w:rsidP="00B241E6">
      <w:pPr>
        <w:pStyle w:val="VLADocumentText"/>
        <w:rPr>
          <w:color w:val="000000"/>
          <w:lang w:eastAsia="en-AU"/>
        </w:rPr>
      </w:pPr>
      <w:r>
        <w:rPr>
          <w:color w:val="000000"/>
          <w:lang w:eastAsia="en-AU"/>
        </w:rPr>
        <w:t>We also support the expansion of existing programs</w:t>
      </w:r>
      <w:r w:rsidR="00B241E6">
        <w:rPr>
          <w:color w:val="000000"/>
          <w:lang w:eastAsia="en-AU"/>
        </w:rPr>
        <w:t xml:space="preserve"> which improve the experience of vulnerable witnesses. An example is the </w:t>
      </w:r>
      <w:r w:rsidR="00B241E6" w:rsidRPr="00B241E6">
        <w:rPr>
          <w:color w:val="000000"/>
          <w:lang w:eastAsia="en-AU"/>
        </w:rPr>
        <w:t>OPP Victim Support Dog Program</w:t>
      </w:r>
      <w:r w:rsidR="00B241E6">
        <w:rPr>
          <w:color w:val="000000"/>
          <w:lang w:eastAsia="en-AU"/>
        </w:rPr>
        <w:t xml:space="preserve">, which enables the </w:t>
      </w:r>
      <w:r w:rsidR="00B241E6" w:rsidRPr="00B241E6">
        <w:rPr>
          <w:color w:val="000000"/>
          <w:lang w:eastAsia="en-AU"/>
        </w:rPr>
        <w:t>use of a trained support dog to provide comfort to vulnerable witnesses when waiting for court or when giving evidence from the remote witness facility</w:t>
      </w:r>
      <w:r>
        <w:rPr>
          <w:color w:val="000000"/>
          <w:lang w:eastAsia="en-AU"/>
        </w:rPr>
        <w:t xml:space="preserve">. </w:t>
      </w:r>
    </w:p>
    <w:p w14:paraId="3282BAE0" w14:textId="1064ABFB" w:rsidR="00B241E6" w:rsidRDefault="00633B81" w:rsidP="00633B81">
      <w:pPr>
        <w:pStyle w:val="VLADocumentText"/>
        <w:rPr>
          <w:lang w:eastAsia="en-AU"/>
        </w:rPr>
      </w:pPr>
      <w:r>
        <w:rPr>
          <w:lang w:eastAsia="en-AU"/>
        </w:rPr>
        <w:t>The</w:t>
      </w:r>
      <w:r w:rsidDel="0058152B">
        <w:rPr>
          <w:lang w:eastAsia="en-AU"/>
        </w:rPr>
        <w:t xml:space="preserve"> </w:t>
      </w:r>
      <w:r>
        <w:rPr>
          <w:lang w:eastAsia="en-AU"/>
        </w:rPr>
        <w:t xml:space="preserve">child witness service </w:t>
      </w:r>
      <w:r w:rsidRPr="00B44F71">
        <w:rPr>
          <w:lang w:eastAsia="en-AU"/>
        </w:rPr>
        <w:t>caters to the unique developments of children and tailors its services to ensure children are supported through the court system in the M</w:t>
      </w:r>
      <w:r>
        <w:rPr>
          <w:lang w:eastAsia="en-AU"/>
        </w:rPr>
        <w:t>agistrates’ Court</w:t>
      </w:r>
      <w:r w:rsidRPr="00B44F71">
        <w:rPr>
          <w:lang w:eastAsia="en-AU"/>
        </w:rPr>
        <w:t>, C</w:t>
      </w:r>
      <w:r>
        <w:rPr>
          <w:lang w:eastAsia="en-AU"/>
        </w:rPr>
        <w:t xml:space="preserve">ounty Court and </w:t>
      </w:r>
      <w:r w:rsidRPr="00B44F71">
        <w:rPr>
          <w:lang w:eastAsia="en-AU"/>
        </w:rPr>
        <w:t>S</w:t>
      </w:r>
      <w:r>
        <w:rPr>
          <w:lang w:eastAsia="en-AU"/>
        </w:rPr>
        <w:t xml:space="preserve">upreme </w:t>
      </w:r>
      <w:r w:rsidRPr="00B44F71">
        <w:rPr>
          <w:lang w:eastAsia="en-AU"/>
        </w:rPr>
        <w:t>C</w:t>
      </w:r>
      <w:r>
        <w:rPr>
          <w:lang w:eastAsia="en-AU"/>
        </w:rPr>
        <w:t>ourt,</w:t>
      </w:r>
      <w:r w:rsidRPr="00B44F71">
        <w:rPr>
          <w:lang w:eastAsia="en-AU"/>
        </w:rPr>
        <w:t xml:space="preserve"> both regionally and metropolitan. This service ensure</w:t>
      </w:r>
      <w:r>
        <w:rPr>
          <w:lang w:eastAsia="en-AU"/>
        </w:rPr>
        <w:t>s</w:t>
      </w:r>
      <w:r w:rsidRPr="00B44F71">
        <w:rPr>
          <w:lang w:eastAsia="en-AU"/>
        </w:rPr>
        <w:t xml:space="preserve"> that the child complainant </w:t>
      </w:r>
      <w:r w:rsidR="00E5499E">
        <w:rPr>
          <w:lang w:eastAsia="en-AU"/>
        </w:rPr>
        <w:t>or</w:t>
      </w:r>
      <w:r w:rsidRPr="00B44F71">
        <w:rPr>
          <w:lang w:eastAsia="en-AU"/>
        </w:rPr>
        <w:t xml:space="preserve"> witness has a </w:t>
      </w:r>
      <w:r w:rsidR="00EF48C1">
        <w:rPr>
          <w:lang w:eastAsia="en-AU"/>
        </w:rPr>
        <w:t xml:space="preserve">support </w:t>
      </w:r>
      <w:r w:rsidRPr="00B44F71">
        <w:rPr>
          <w:lang w:eastAsia="en-AU"/>
        </w:rPr>
        <w:t xml:space="preserve">person who will help them through all stages of the </w:t>
      </w:r>
      <w:r>
        <w:rPr>
          <w:lang w:eastAsia="en-AU"/>
        </w:rPr>
        <w:t>c</w:t>
      </w:r>
      <w:r w:rsidRPr="00B44F71">
        <w:rPr>
          <w:lang w:eastAsia="en-AU"/>
        </w:rPr>
        <w:t xml:space="preserve">riminal </w:t>
      </w:r>
      <w:r>
        <w:rPr>
          <w:lang w:eastAsia="en-AU"/>
        </w:rPr>
        <w:t>j</w:t>
      </w:r>
      <w:r w:rsidRPr="00B44F71">
        <w:rPr>
          <w:lang w:eastAsia="en-AU"/>
        </w:rPr>
        <w:t xml:space="preserve">ustice </w:t>
      </w:r>
      <w:r>
        <w:rPr>
          <w:lang w:eastAsia="en-AU"/>
        </w:rPr>
        <w:t>p</w:t>
      </w:r>
      <w:r w:rsidRPr="00B44F71">
        <w:rPr>
          <w:lang w:eastAsia="en-AU"/>
        </w:rPr>
        <w:t xml:space="preserve">rocess. The service assists </w:t>
      </w:r>
      <w:r w:rsidR="003032B4">
        <w:rPr>
          <w:lang w:eastAsia="en-AU"/>
        </w:rPr>
        <w:t xml:space="preserve">to </w:t>
      </w:r>
      <w:r w:rsidRPr="00B44F71">
        <w:rPr>
          <w:lang w:eastAsia="en-AU"/>
        </w:rPr>
        <w:t>reduc</w:t>
      </w:r>
      <w:r w:rsidR="003032B4">
        <w:rPr>
          <w:lang w:eastAsia="en-AU"/>
        </w:rPr>
        <w:t>e</w:t>
      </w:r>
      <w:r w:rsidRPr="00B44F71">
        <w:rPr>
          <w:lang w:eastAsia="en-AU"/>
        </w:rPr>
        <w:t xml:space="preserve"> trauma </w:t>
      </w:r>
      <w:r w:rsidR="003032B4">
        <w:rPr>
          <w:lang w:eastAsia="en-AU"/>
        </w:rPr>
        <w:t xml:space="preserve">by helping the child to understand </w:t>
      </w:r>
      <w:r w:rsidR="00057951">
        <w:rPr>
          <w:lang w:eastAsia="en-AU"/>
        </w:rPr>
        <w:t xml:space="preserve">the criminal process, </w:t>
      </w:r>
      <w:r w:rsidRPr="00B44F71">
        <w:rPr>
          <w:lang w:eastAsia="en-AU"/>
        </w:rPr>
        <w:t>what to expect when they attend court</w:t>
      </w:r>
      <w:r w:rsidR="00057951">
        <w:rPr>
          <w:lang w:eastAsia="en-AU"/>
        </w:rPr>
        <w:t>,</w:t>
      </w:r>
      <w:r w:rsidRPr="00B44F71">
        <w:rPr>
          <w:lang w:eastAsia="en-AU"/>
        </w:rPr>
        <w:t xml:space="preserve"> and what </w:t>
      </w:r>
      <w:r w:rsidR="00057951">
        <w:rPr>
          <w:lang w:eastAsia="en-AU"/>
        </w:rPr>
        <w:t xml:space="preserve">to expect when giving evidence. </w:t>
      </w:r>
    </w:p>
    <w:p w14:paraId="69DC6377" w14:textId="0126811F" w:rsidR="00633B81" w:rsidRDefault="00E5499E" w:rsidP="00633B81">
      <w:pPr>
        <w:pStyle w:val="VLADocumentText"/>
        <w:rPr>
          <w:lang w:eastAsia="en-AU"/>
        </w:rPr>
      </w:pPr>
      <w:r>
        <w:rPr>
          <w:lang w:eastAsia="en-AU"/>
        </w:rPr>
        <w:t>T</w:t>
      </w:r>
      <w:r w:rsidR="000B302A">
        <w:rPr>
          <w:lang w:eastAsia="en-AU"/>
        </w:rPr>
        <w:t xml:space="preserve">here may be benefits associated with providing </w:t>
      </w:r>
      <w:r w:rsidR="002368FC">
        <w:rPr>
          <w:lang w:eastAsia="en-AU"/>
        </w:rPr>
        <w:t xml:space="preserve">individual support to other victims and witnesses involved in the criminal justice process. </w:t>
      </w:r>
      <w:r w:rsidR="005A1A53">
        <w:rPr>
          <w:lang w:eastAsia="en-AU"/>
        </w:rPr>
        <w:t xml:space="preserve">For example, there could </w:t>
      </w:r>
      <w:r w:rsidR="00B330C9">
        <w:rPr>
          <w:lang w:eastAsia="en-AU"/>
        </w:rPr>
        <w:t xml:space="preserve">be advantages </w:t>
      </w:r>
      <w:r w:rsidR="00B330C9">
        <w:rPr>
          <w:lang w:eastAsia="en-AU"/>
        </w:rPr>
        <w:lastRenderedPageBreak/>
        <w:t xml:space="preserve">associated with making this </w:t>
      </w:r>
      <w:r w:rsidR="00BE0253">
        <w:rPr>
          <w:lang w:eastAsia="en-AU"/>
        </w:rPr>
        <w:t xml:space="preserve">support </w:t>
      </w:r>
      <w:r w:rsidR="00B330C9">
        <w:rPr>
          <w:lang w:eastAsia="en-AU"/>
        </w:rPr>
        <w:t>available to</w:t>
      </w:r>
      <w:r w:rsidR="00633B81">
        <w:rPr>
          <w:lang w:eastAsia="en-AU"/>
        </w:rPr>
        <w:t xml:space="preserve"> victims of intimate partner violence who have children with the perpetrator and </w:t>
      </w:r>
      <w:r w:rsidR="00BE0253">
        <w:rPr>
          <w:lang w:eastAsia="en-AU"/>
        </w:rPr>
        <w:t xml:space="preserve">may </w:t>
      </w:r>
      <w:r w:rsidR="00633B81">
        <w:rPr>
          <w:lang w:eastAsia="en-AU"/>
        </w:rPr>
        <w:t xml:space="preserve">have </w:t>
      </w:r>
      <w:r w:rsidR="00BE0253">
        <w:rPr>
          <w:lang w:eastAsia="en-AU"/>
        </w:rPr>
        <w:t xml:space="preserve">some form of </w:t>
      </w:r>
      <w:r w:rsidR="00633B81">
        <w:rPr>
          <w:lang w:eastAsia="en-AU"/>
        </w:rPr>
        <w:t xml:space="preserve">ongoing relationship with them. </w:t>
      </w:r>
    </w:p>
    <w:p w14:paraId="2ED8901D" w14:textId="4F27DEDA" w:rsidR="00633B81" w:rsidRPr="00C25318" w:rsidRDefault="00633B81" w:rsidP="00315A77">
      <w:pPr>
        <w:pStyle w:val="Heading1"/>
      </w:pPr>
      <w:bookmarkStart w:id="97" w:name="_Toc17050694"/>
      <w:bookmarkStart w:id="98" w:name="_Toc17155108"/>
      <w:r w:rsidRPr="00E44D59">
        <w:t>Question 13. Should the current test for committal be retained?</w:t>
      </w:r>
      <w:bookmarkEnd w:id="97"/>
      <w:bookmarkEnd w:id="98"/>
    </w:p>
    <w:p w14:paraId="067ACA82" w14:textId="1C04FACE" w:rsidR="00565923" w:rsidRDefault="00BE0253" w:rsidP="00633B81">
      <w:pPr>
        <w:pStyle w:val="VLADocumentText"/>
        <w:rPr>
          <w:rFonts w:eastAsiaTheme="minorHAnsi"/>
          <w:lang w:eastAsia="en-AU"/>
        </w:rPr>
      </w:pPr>
      <w:r>
        <w:rPr>
          <w:lang w:eastAsia="en-AU"/>
        </w:rPr>
        <w:t xml:space="preserve">VLA supports the retention of the current </w:t>
      </w:r>
      <w:r w:rsidR="00B241E6">
        <w:rPr>
          <w:lang w:eastAsia="en-AU"/>
        </w:rPr>
        <w:t xml:space="preserve">test for committal. </w:t>
      </w:r>
    </w:p>
    <w:p w14:paraId="114BA635" w14:textId="71760AA8" w:rsidR="00633B81" w:rsidRDefault="00633B81" w:rsidP="00633B81">
      <w:pPr>
        <w:pStyle w:val="VLADocumentText"/>
        <w:rPr>
          <w:rFonts w:eastAsiaTheme="minorEastAsia" w:cs="Arial"/>
        </w:rPr>
      </w:pPr>
      <w:r w:rsidRPr="00994D2B">
        <w:rPr>
          <w:rFonts w:eastAsiaTheme="minorEastAsia"/>
        </w:rPr>
        <w:t>Currently</w:t>
      </w:r>
      <w:r w:rsidRPr="00994D2B">
        <w:rPr>
          <w:rFonts w:eastAsiaTheme="minorEastAsia"/>
          <w:lang w:eastAsia="en-AU"/>
        </w:rPr>
        <w:t xml:space="preserve"> the </w:t>
      </w:r>
      <w:r w:rsidRPr="00994D2B">
        <w:rPr>
          <w:rFonts w:eastAsiaTheme="minorEastAsia"/>
          <w:iCs/>
        </w:rPr>
        <w:t xml:space="preserve">Criminal Procedure Act </w:t>
      </w:r>
      <w:r w:rsidRPr="00994D2B">
        <w:rPr>
          <w:rFonts w:eastAsiaTheme="minorEastAsia"/>
        </w:rPr>
        <w:t>requires the magistrate to commit</w:t>
      </w:r>
      <w:r w:rsidRPr="00994D2B">
        <w:rPr>
          <w:rFonts w:eastAsiaTheme="minorEastAsia"/>
          <w:lang w:eastAsia="en-AU"/>
        </w:rPr>
        <w:t xml:space="preserve"> an accused </w:t>
      </w:r>
      <w:r w:rsidRPr="00994D2B">
        <w:rPr>
          <w:rFonts w:eastAsiaTheme="minorEastAsia"/>
        </w:rPr>
        <w:t>for</w:t>
      </w:r>
      <w:r w:rsidRPr="00994D2B">
        <w:rPr>
          <w:rFonts w:eastAsiaTheme="minorEastAsia"/>
          <w:lang w:eastAsia="en-AU"/>
        </w:rPr>
        <w:t xml:space="preserve"> trial </w:t>
      </w:r>
      <w:r w:rsidRPr="00994D2B">
        <w:rPr>
          <w:rFonts w:eastAsiaTheme="minorEastAsia"/>
        </w:rPr>
        <w:t>if there is ‘evidence of sufficient weight to support a conviction for the offence with which the accused is charged’.</w:t>
      </w:r>
      <w:r w:rsidRPr="00994D2B">
        <w:rPr>
          <w:rStyle w:val="FootnoteReference"/>
          <w:rFonts w:eastAsiaTheme="minorEastAsia"/>
        </w:rPr>
        <w:footnoteReference w:id="62"/>
      </w:r>
      <w:r w:rsidRPr="00994D2B">
        <w:rPr>
          <w:rFonts w:eastAsiaTheme="minorEastAsia"/>
        </w:rPr>
        <w:t xml:space="preserve"> </w:t>
      </w:r>
      <w:r w:rsidR="000868B9">
        <w:rPr>
          <w:rFonts w:eastAsiaTheme="minorEastAsia"/>
        </w:rPr>
        <w:t xml:space="preserve">In our experience, </w:t>
      </w:r>
      <w:r w:rsidR="000868B9">
        <w:rPr>
          <w:lang w:eastAsia="en-AU"/>
        </w:rPr>
        <w:t>t</w:t>
      </w:r>
      <w:r w:rsidRPr="00994D2B">
        <w:rPr>
          <w:lang w:eastAsia="en-AU"/>
        </w:rPr>
        <w:t xml:space="preserve">his threshold </w:t>
      </w:r>
      <w:r w:rsidR="00565923">
        <w:rPr>
          <w:lang w:eastAsia="en-AU"/>
        </w:rPr>
        <w:t xml:space="preserve">does not </w:t>
      </w:r>
      <w:r w:rsidR="00CD010A">
        <w:rPr>
          <w:lang w:eastAsia="en-AU"/>
        </w:rPr>
        <w:t>effectively</w:t>
      </w:r>
      <w:r w:rsidR="00565923">
        <w:rPr>
          <w:lang w:eastAsia="en-AU"/>
        </w:rPr>
        <w:t xml:space="preserve"> </w:t>
      </w:r>
      <w:r w:rsidRPr="00994D2B">
        <w:rPr>
          <w:lang w:eastAsia="en-AU"/>
        </w:rPr>
        <w:t xml:space="preserve">filter </w:t>
      </w:r>
      <w:r w:rsidR="00565923">
        <w:rPr>
          <w:lang w:eastAsia="en-AU"/>
        </w:rPr>
        <w:t xml:space="preserve">out </w:t>
      </w:r>
      <w:r w:rsidRPr="00994D2B">
        <w:rPr>
          <w:lang w:eastAsia="en-AU"/>
        </w:rPr>
        <w:t>weak cases.</w:t>
      </w:r>
      <w:r w:rsidR="000868B9">
        <w:rPr>
          <w:lang w:eastAsia="en-AU"/>
        </w:rPr>
        <w:t xml:space="preserve"> This experience is supported by available data.</w:t>
      </w:r>
      <w:r w:rsidRPr="00994D2B">
        <w:rPr>
          <w:lang w:eastAsia="en-AU"/>
        </w:rPr>
        <w:t xml:space="preserve"> In Victoria over 80</w:t>
      </w:r>
      <w:r w:rsidR="005954CD">
        <w:rPr>
          <w:lang w:eastAsia="en-AU"/>
        </w:rPr>
        <w:t xml:space="preserve"> per cent</w:t>
      </w:r>
      <w:r w:rsidRPr="00994D2B">
        <w:rPr>
          <w:lang w:eastAsia="en-AU"/>
        </w:rPr>
        <w:t xml:space="preserve"> of accused persons in committal hearings are committed to </w:t>
      </w:r>
      <w:r w:rsidRPr="00994D2B">
        <w:rPr>
          <w:rFonts w:cs="Arial"/>
          <w:lang w:eastAsia="en-AU"/>
        </w:rPr>
        <w:t>trial</w:t>
      </w:r>
      <w:r w:rsidRPr="00994D2B">
        <w:rPr>
          <w:rFonts w:cs="Arial"/>
          <w:position w:val="9"/>
        </w:rPr>
        <w:t xml:space="preserve"> </w:t>
      </w:r>
      <w:r w:rsidRPr="00994D2B">
        <w:rPr>
          <w:rFonts w:eastAsiaTheme="minorEastAsia" w:cs="Arial"/>
        </w:rPr>
        <w:t xml:space="preserve">and </w:t>
      </w:r>
      <w:r w:rsidRPr="00994D2B">
        <w:rPr>
          <w:rFonts w:cs="Arial"/>
          <w:lang w:eastAsia="en-AU"/>
        </w:rPr>
        <w:t>approximately</w:t>
      </w:r>
      <w:r w:rsidRPr="00994D2B">
        <w:rPr>
          <w:rFonts w:eastAsiaTheme="minorEastAsia" w:cs="Arial"/>
        </w:rPr>
        <w:t xml:space="preserve"> 40</w:t>
      </w:r>
      <w:r w:rsidR="005954CD">
        <w:rPr>
          <w:rFonts w:eastAsiaTheme="minorEastAsia" w:cs="Arial"/>
        </w:rPr>
        <w:t xml:space="preserve"> per cent</w:t>
      </w:r>
      <w:r w:rsidRPr="00994D2B">
        <w:rPr>
          <w:rFonts w:eastAsiaTheme="minorEastAsia" w:cs="Arial"/>
        </w:rPr>
        <w:t xml:space="preserve"> of people who stand trial in Victoria for indictable</w:t>
      </w:r>
      <w:r w:rsidRPr="0ECAAAE2">
        <w:rPr>
          <w:rFonts w:eastAsiaTheme="minorEastAsia" w:cs="Arial"/>
        </w:rPr>
        <w:t xml:space="preserve"> offences are found not guilty.</w:t>
      </w:r>
      <w:r w:rsidRPr="00A603BE">
        <w:rPr>
          <w:rStyle w:val="FootnoteReference"/>
          <w:rFonts w:cs="Arial"/>
          <w:sz w:val="22"/>
          <w:szCs w:val="22"/>
        </w:rPr>
        <w:footnoteReference w:id="63"/>
      </w:r>
      <w:r w:rsidRPr="00990E71">
        <w:rPr>
          <w:rFonts w:cs="Arial"/>
          <w:position w:val="9"/>
        </w:rPr>
        <w:t xml:space="preserve"> </w:t>
      </w:r>
      <w:r w:rsidRPr="0ECAAAE2">
        <w:rPr>
          <w:rFonts w:eastAsiaTheme="minorEastAsia" w:cs="Arial"/>
        </w:rPr>
        <w:t>This trend is higher than both in NSW (29</w:t>
      </w:r>
      <w:r w:rsidR="005954CD">
        <w:rPr>
          <w:rFonts w:eastAsiaTheme="minorEastAsia" w:cs="Arial"/>
        </w:rPr>
        <w:t xml:space="preserve"> per cent</w:t>
      </w:r>
      <w:r w:rsidRPr="0ECAAAE2">
        <w:rPr>
          <w:rFonts w:eastAsiaTheme="minorEastAsia" w:cs="Arial"/>
        </w:rPr>
        <w:t>) and Western Australia (36</w:t>
      </w:r>
      <w:r w:rsidR="005954CD">
        <w:rPr>
          <w:rFonts w:eastAsiaTheme="minorEastAsia" w:cs="Arial"/>
        </w:rPr>
        <w:t xml:space="preserve"> per cent</w:t>
      </w:r>
      <w:r w:rsidRPr="0ECAAAE2">
        <w:rPr>
          <w:rFonts w:eastAsiaTheme="minorEastAsia" w:cs="Arial"/>
        </w:rPr>
        <w:t>).</w:t>
      </w:r>
      <w:r w:rsidRPr="00A603BE">
        <w:rPr>
          <w:rStyle w:val="FootnoteReference"/>
          <w:rFonts w:cs="Arial"/>
          <w:sz w:val="22"/>
          <w:szCs w:val="22"/>
        </w:rPr>
        <w:footnoteReference w:id="64"/>
      </w:r>
    </w:p>
    <w:p w14:paraId="6E1F8014" w14:textId="77CCC4D6" w:rsidR="00B241E6" w:rsidRPr="00994D2B" w:rsidRDefault="00B241E6" w:rsidP="00B241E6">
      <w:pPr>
        <w:pStyle w:val="VLADocumentText"/>
        <w:rPr>
          <w:rFonts w:eastAsiaTheme="minorHAnsi"/>
        </w:rPr>
      </w:pPr>
      <w:r w:rsidRPr="00994D2B">
        <w:rPr>
          <w:rFonts w:eastAsiaTheme="minorHAnsi"/>
        </w:rPr>
        <w:t xml:space="preserve">In our </w:t>
      </w:r>
      <w:r>
        <w:rPr>
          <w:rFonts w:eastAsiaTheme="minorHAnsi"/>
        </w:rPr>
        <w:t>experience</w:t>
      </w:r>
      <w:r w:rsidRPr="00994D2B">
        <w:rPr>
          <w:rFonts w:eastAsiaTheme="minorHAnsi"/>
        </w:rPr>
        <w:t xml:space="preserve"> the valuable aspects of the committal test are: </w:t>
      </w:r>
    </w:p>
    <w:p w14:paraId="49817547" w14:textId="66391757" w:rsidR="00B241E6" w:rsidRDefault="00B241E6" w:rsidP="00B241E6">
      <w:pPr>
        <w:pStyle w:val="VLADocumentText"/>
        <w:numPr>
          <w:ilvl w:val="0"/>
          <w:numId w:val="22"/>
        </w:numPr>
        <w:rPr>
          <w:lang w:eastAsia="en-AU"/>
        </w:rPr>
      </w:pPr>
      <w:r>
        <w:rPr>
          <w:rFonts w:eastAsiaTheme="minorHAnsi"/>
          <w:lang w:eastAsia="en-AU"/>
        </w:rPr>
        <w:t>t</w:t>
      </w:r>
      <w:r w:rsidRPr="00994D2B">
        <w:rPr>
          <w:rFonts w:eastAsiaTheme="minorHAnsi"/>
          <w:lang w:eastAsia="en-AU"/>
        </w:rPr>
        <w:t xml:space="preserve">he </w:t>
      </w:r>
      <w:r>
        <w:rPr>
          <w:rFonts w:eastAsiaTheme="minorHAnsi"/>
          <w:lang w:eastAsia="en-AU"/>
        </w:rPr>
        <w:t xml:space="preserve">need to satisfy </w:t>
      </w:r>
      <w:r w:rsidRPr="00994D2B">
        <w:rPr>
          <w:lang w:eastAsia="en-AU"/>
        </w:rPr>
        <w:t>the committal test focuses the attention of the parties at an early stage on whether the charges can be made out</w:t>
      </w:r>
      <w:r>
        <w:rPr>
          <w:lang w:eastAsia="en-AU"/>
        </w:rPr>
        <w:t xml:space="preserve"> on the evidence</w:t>
      </w:r>
      <w:r w:rsidRPr="00994D2B">
        <w:rPr>
          <w:lang w:eastAsia="en-AU"/>
        </w:rPr>
        <w:t xml:space="preserve">; </w:t>
      </w:r>
    </w:p>
    <w:p w14:paraId="067D01EF" w14:textId="77777777" w:rsidR="00B241E6" w:rsidRPr="00994D2B" w:rsidRDefault="00B241E6" w:rsidP="00B241E6">
      <w:pPr>
        <w:pStyle w:val="VLADocumentText"/>
        <w:numPr>
          <w:ilvl w:val="0"/>
          <w:numId w:val="22"/>
        </w:numPr>
        <w:rPr>
          <w:lang w:eastAsia="en-AU"/>
        </w:rPr>
      </w:pPr>
      <w:r>
        <w:rPr>
          <w:rFonts w:eastAsiaTheme="minorHAnsi"/>
          <w:lang w:eastAsia="en-AU"/>
        </w:rPr>
        <w:t xml:space="preserve">this focus facilitates early and appropriate disclosure; </w:t>
      </w:r>
      <w:r w:rsidRPr="00994D2B">
        <w:rPr>
          <w:lang w:eastAsia="en-AU"/>
        </w:rPr>
        <w:t xml:space="preserve">and </w:t>
      </w:r>
    </w:p>
    <w:p w14:paraId="6AADE144" w14:textId="29ADE2D9" w:rsidR="0043407C" w:rsidRDefault="00B241E6" w:rsidP="0043407C">
      <w:pPr>
        <w:pStyle w:val="VLADocumentText"/>
        <w:numPr>
          <w:ilvl w:val="0"/>
          <w:numId w:val="22"/>
        </w:numPr>
        <w:rPr>
          <w:rFonts w:eastAsiaTheme="minorHAnsi"/>
        </w:rPr>
      </w:pPr>
      <w:r>
        <w:rPr>
          <w:lang w:eastAsia="en-AU"/>
        </w:rPr>
        <w:t>the</w:t>
      </w:r>
      <w:r w:rsidRPr="00994D2B">
        <w:rPr>
          <w:lang w:eastAsia="en-AU"/>
        </w:rPr>
        <w:t xml:space="preserve"> independent and transparent assessment made by a judicial officer of the </w:t>
      </w:r>
      <w:r>
        <w:rPr>
          <w:lang w:eastAsia="en-AU"/>
        </w:rPr>
        <w:t xml:space="preserve">capacity </w:t>
      </w:r>
      <w:r w:rsidRPr="00994D2B">
        <w:rPr>
          <w:lang w:eastAsia="en-AU"/>
        </w:rPr>
        <w:t>of the evidence</w:t>
      </w:r>
      <w:r>
        <w:rPr>
          <w:lang w:eastAsia="en-AU"/>
        </w:rPr>
        <w:t xml:space="preserve"> to support a conviction</w:t>
      </w:r>
      <w:r w:rsidRPr="00994D2B">
        <w:rPr>
          <w:lang w:eastAsia="en-AU"/>
        </w:rPr>
        <w:t xml:space="preserve">. </w:t>
      </w:r>
    </w:p>
    <w:p w14:paraId="3912CAC4" w14:textId="34C1ADC8" w:rsidR="00CB6660" w:rsidRPr="0043407C" w:rsidRDefault="0043407C" w:rsidP="003D4AF1">
      <w:pPr>
        <w:pStyle w:val="VLADocumentText"/>
        <w:rPr>
          <w:rFonts w:eastAsiaTheme="minorHAnsi"/>
        </w:rPr>
      </w:pPr>
      <w:r>
        <w:rPr>
          <w:rFonts w:eastAsiaTheme="minorHAnsi"/>
        </w:rPr>
        <w:t xml:space="preserve">Any recommendations to reform </w:t>
      </w:r>
      <w:r w:rsidR="003D4548">
        <w:rPr>
          <w:rFonts w:eastAsiaTheme="minorHAnsi"/>
        </w:rPr>
        <w:t>the expression of</w:t>
      </w:r>
      <w:r w:rsidR="00CB6660">
        <w:rPr>
          <w:rFonts w:eastAsiaTheme="minorHAnsi"/>
        </w:rPr>
        <w:t xml:space="preserve"> the test </w:t>
      </w:r>
      <w:r w:rsidR="003D4548">
        <w:rPr>
          <w:rFonts w:eastAsiaTheme="minorHAnsi"/>
        </w:rPr>
        <w:t>should ensure it continues to meet</w:t>
      </w:r>
      <w:r>
        <w:rPr>
          <w:rFonts w:eastAsiaTheme="minorHAnsi"/>
        </w:rPr>
        <w:t xml:space="preserve"> these objectives</w:t>
      </w:r>
      <w:r w:rsidR="003D4548">
        <w:rPr>
          <w:rFonts w:eastAsiaTheme="minorHAnsi"/>
        </w:rPr>
        <w:t xml:space="preserve">. </w:t>
      </w:r>
    </w:p>
    <w:p w14:paraId="499AA59D" w14:textId="7044CC70" w:rsidR="00633B81" w:rsidRDefault="00633B81" w:rsidP="00315A77">
      <w:pPr>
        <w:pStyle w:val="Heading1"/>
      </w:pPr>
      <w:bookmarkStart w:id="99" w:name="_Toc17050695"/>
      <w:bookmarkStart w:id="100" w:name="_Toc17155109"/>
      <w:r w:rsidRPr="00E44D59">
        <w:t>Question 14. Having regard to the DPP’s power to indict directly, is there a need for a test for committal?</w:t>
      </w:r>
      <w:bookmarkEnd w:id="99"/>
      <w:bookmarkEnd w:id="100"/>
    </w:p>
    <w:p w14:paraId="3801292E" w14:textId="57E97C9C" w:rsidR="00CB51B0" w:rsidRDefault="00CB51B0" w:rsidP="00633B81">
      <w:pPr>
        <w:pStyle w:val="VLADocumentText"/>
        <w:rPr>
          <w:lang w:eastAsia="en-AU"/>
        </w:rPr>
      </w:pPr>
      <w:r>
        <w:rPr>
          <w:lang w:eastAsia="en-AU"/>
        </w:rPr>
        <w:t xml:space="preserve">VLA </w:t>
      </w:r>
      <w:r w:rsidR="00D24D97">
        <w:rPr>
          <w:lang w:eastAsia="en-AU"/>
        </w:rPr>
        <w:t xml:space="preserve">considers the role of the committal is separate and complementary to the power of the DPP to indict directly. </w:t>
      </w:r>
      <w:r w:rsidR="00633B81">
        <w:rPr>
          <w:lang w:eastAsia="en-AU"/>
        </w:rPr>
        <w:t xml:space="preserve">The committal test ensures that there </w:t>
      </w:r>
      <w:r w:rsidR="00633B81" w:rsidRPr="00B44F71">
        <w:rPr>
          <w:lang w:eastAsia="en-AU"/>
        </w:rPr>
        <w:t>is an independent scrutiny of the prosecution case</w:t>
      </w:r>
      <w:r w:rsidR="0038391E">
        <w:rPr>
          <w:lang w:eastAsia="en-AU"/>
        </w:rPr>
        <w:t xml:space="preserve"> </w:t>
      </w:r>
      <w:r w:rsidR="002A172A">
        <w:rPr>
          <w:lang w:eastAsia="en-AU"/>
        </w:rPr>
        <w:t xml:space="preserve">before investing </w:t>
      </w:r>
      <w:r w:rsidR="0038391E">
        <w:rPr>
          <w:lang w:eastAsia="en-AU"/>
        </w:rPr>
        <w:t xml:space="preserve">time and resources </w:t>
      </w:r>
      <w:r w:rsidR="002A172A">
        <w:rPr>
          <w:lang w:eastAsia="en-AU"/>
        </w:rPr>
        <w:t>into a trial</w:t>
      </w:r>
      <w:r w:rsidR="00633B81" w:rsidRPr="00B44F71">
        <w:rPr>
          <w:lang w:eastAsia="en-AU"/>
        </w:rPr>
        <w:t>.</w:t>
      </w:r>
      <w:r w:rsidR="00633B81">
        <w:rPr>
          <w:lang w:eastAsia="en-AU"/>
        </w:rPr>
        <w:t xml:space="preserve"> </w:t>
      </w:r>
    </w:p>
    <w:p w14:paraId="4CD05E16" w14:textId="42F79EEF" w:rsidR="00633B81" w:rsidRDefault="00633B81" w:rsidP="00633B81">
      <w:pPr>
        <w:pStyle w:val="VLADocumentText"/>
        <w:rPr>
          <w:lang w:eastAsia="en-AU"/>
        </w:rPr>
      </w:pPr>
      <w:r w:rsidRPr="00B44F71">
        <w:rPr>
          <w:lang w:eastAsia="en-AU"/>
        </w:rPr>
        <w:t>The power by the DPP to directly indict must be exercised separately</w:t>
      </w:r>
      <w:r w:rsidR="00687441">
        <w:rPr>
          <w:lang w:eastAsia="en-AU"/>
        </w:rPr>
        <w:t>,</w:t>
      </w:r>
      <w:r w:rsidRPr="00B44F71">
        <w:rPr>
          <w:lang w:eastAsia="en-AU"/>
        </w:rPr>
        <w:t xml:space="preserve"> having regard to separate guidelines</w:t>
      </w:r>
      <w:r w:rsidR="00687441">
        <w:rPr>
          <w:lang w:eastAsia="en-AU"/>
        </w:rPr>
        <w:t>,</w:t>
      </w:r>
      <w:r w:rsidRPr="00B44F71">
        <w:rPr>
          <w:lang w:eastAsia="en-AU"/>
        </w:rPr>
        <w:t xml:space="preserve"> and only in </w:t>
      </w:r>
      <w:r>
        <w:rPr>
          <w:lang w:eastAsia="en-AU"/>
        </w:rPr>
        <w:t>circumstances</w:t>
      </w:r>
      <w:r w:rsidRPr="00B44F71">
        <w:rPr>
          <w:lang w:eastAsia="en-AU"/>
        </w:rPr>
        <w:t xml:space="preserve"> where there is a reasonable prospect of conviction. Given this </w:t>
      </w:r>
      <w:r w:rsidR="00687441">
        <w:rPr>
          <w:lang w:eastAsia="en-AU"/>
        </w:rPr>
        <w:t xml:space="preserve">usually </w:t>
      </w:r>
      <w:r w:rsidRPr="00B44F71">
        <w:rPr>
          <w:lang w:eastAsia="en-AU"/>
        </w:rPr>
        <w:t>happen</w:t>
      </w:r>
      <w:r w:rsidR="00687441">
        <w:rPr>
          <w:lang w:eastAsia="en-AU"/>
        </w:rPr>
        <w:t>s</w:t>
      </w:r>
      <w:r w:rsidRPr="00B44F71">
        <w:rPr>
          <w:lang w:eastAsia="en-AU"/>
        </w:rPr>
        <w:t xml:space="preserve"> after a judicial officer has discharged the accused at </w:t>
      </w:r>
      <w:r w:rsidRPr="000E4F8B">
        <w:t>committal</w:t>
      </w:r>
      <w:r w:rsidRPr="00B44F71">
        <w:rPr>
          <w:lang w:eastAsia="en-AU"/>
        </w:rPr>
        <w:t>, the power to directly indict should be very sparingly exercised.</w:t>
      </w:r>
    </w:p>
    <w:p w14:paraId="70B65AF7" w14:textId="100C6C8C" w:rsidR="00633B81" w:rsidRDefault="00633B81" w:rsidP="00BF2401">
      <w:pPr>
        <w:pStyle w:val="VLADocumentText"/>
        <w:rPr>
          <w:rFonts w:cs="Arial"/>
          <w:lang w:eastAsia="en-AU"/>
        </w:rPr>
      </w:pPr>
      <w:r w:rsidRPr="00E44D59">
        <w:rPr>
          <w:rFonts w:cs="Arial"/>
          <w:lang w:eastAsia="en-AU"/>
        </w:rPr>
        <w:t xml:space="preserve">It is noted that in 10 matters in 2017-2018, an accused </w:t>
      </w:r>
      <w:r>
        <w:rPr>
          <w:rFonts w:cs="Arial"/>
          <w:lang w:eastAsia="en-AU"/>
        </w:rPr>
        <w:t>was</w:t>
      </w:r>
      <w:r w:rsidRPr="00E44D59">
        <w:rPr>
          <w:rFonts w:cs="Arial"/>
          <w:lang w:eastAsia="en-AU"/>
        </w:rPr>
        <w:t xml:space="preserve"> discharged of all charges following a committal hearing. </w:t>
      </w:r>
      <w:r w:rsidR="00695234">
        <w:rPr>
          <w:rFonts w:cs="Arial"/>
          <w:lang w:eastAsia="en-AU"/>
        </w:rPr>
        <w:t>T</w:t>
      </w:r>
      <w:r w:rsidRPr="00E44D59">
        <w:rPr>
          <w:rFonts w:cs="Arial"/>
          <w:lang w:eastAsia="en-AU"/>
        </w:rPr>
        <w:t>he DPP filed 19 direct indictments</w:t>
      </w:r>
      <w:r w:rsidR="00695234">
        <w:rPr>
          <w:rFonts w:cs="Arial"/>
          <w:lang w:eastAsia="en-AU"/>
        </w:rPr>
        <w:t xml:space="preserve"> in the same financial year</w:t>
      </w:r>
      <w:r w:rsidRPr="00E44D59">
        <w:rPr>
          <w:rFonts w:cs="Arial"/>
          <w:lang w:eastAsia="en-AU"/>
        </w:rPr>
        <w:t>.</w:t>
      </w:r>
      <w:r w:rsidRPr="00E44D59">
        <w:rPr>
          <w:rStyle w:val="FootnoteReference"/>
          <w:rFonts w:cs="Arial"/>
          <w:lang w:eastAsia="en-AU"/>
        </w:rPr>
        <w:footnoteReference w:id="65"/>
      </w:r>
      <w:r w:rsidRPr="00E44D59">
        <w:rPr>
          <w:rFonts w:cs="Arial"/>
          <w:lang w:eastAsia="en-AU"/>
        </w:rPr>
        <w:t xml:space="preserve"> </w:t>
      </w:r>
      <w:r w:rsidR="00695234">
        <w:rPr>
          <w:rFonts w:cs="Arial"/>
          <w:lang w:eastAsia="en-AU"/>
        </w:rPr>
        <w:t>D</w:t>
      </w:r>
      <w:r w:rsidRPr="00E44D59">
        <w:rPr>
          <w:rFonts w:cs="Arial"/>
          <w:lang w:eastAsia="en-AU"/>
        </w:rPr>
        <w:t xml:space="preserve">ata does not reveal if </w:t>
      </w:r>
      <w:r w:rsidR="008D71B5">
        <w:rPr>
          <w:rFonts w:cs="Arial"/>
          <w:lang w:eastAsia="en-AU"/>
        </w:rPr>
        <w:t xml:space="preserve">any of </w:t>
      </w:r>
      <w:r w:rsidRPr="00E44D59">
        <w:rPr>
          <w:rFonts w:cs="Arial"/>
          <w:lang w:eastAsia="en-AU"/>
        </w:rPr>
        <w:t xml:space="preserve">the 19 direct indictments were </w:t>
      </w:r>
      <w:r w:rsidR="00695234">
        <w:rPr>
          <w:rFonts w:cs="Arial"/>
          <w:lang w:eastAsia="en-AU"/>
        </w:rPr>
        <w:t xml:space="preserve">at the request of the defence, seeking expedited plea proceedings, or </w:t>
      </w:r>
      <w:r w:rsidRPr="00E44D59">
        <w:rPr>
          <w:rFonts w:cs="Arial"/>
          <w:lang w:eastAsia="en-AU"/>
        </w:rPr>
        <w:t xml:space="preserve">in response to </w:t>
      </w:r>
      <w:r w:rsidR="00695234">
        <w:rPr>
          <w:rFonts w:cs="Arial"/>
          <w:lang w:eastAsia="en-AU"/>
        </w:rPr>
        <w:t xml:space="preserve">a magistrate’s decision to </w:t>
      </w:r>
      <w:r w:rsidRPr="00E44D59">
        <w:rPr>
          <w:rFonts w:cs="Arial"/>
          <w:lang w:eastAsia="en-AU"/>
        </w:rPr>
        <w:t>discharge</w:t>
      </w:r>
      <w:r w:rsidR="00695234">
        <w:rPr>
          <w:rFonts w:cs="Arial"/>
          <w:lang w:eastAsia="en-AU"/>
        </w:rPr>
        <w:t xml:space="preserve"> the </w:t>
      </w:r>
      <w:r w:rsidRPr="00E44D59">
        <w:rPr>
          <w:rFonts w:cs="Arial"/>
          <w:lang w:eastAsia="en-AU"/>
        </w:rPr>
        <w:t xml:space="preserve">charges. </w:t>
      </w:r>
      <w:r w:rsidR="00BF2401">
        <w:rPr>
          <w:rFonts w:cs="Arial"/>
          <w:lang w:eastAsia="en-AU"/>
        </w:rPr>
        <w:lastRenderedPageBreak/>
        <w:t xml:space="preserve">We suggest that ascertaining the reasons for the direct indictments could </w:t>
      </w:r>
      <w:r w:rsidR="009E204B">
        <w:rPr>
          <w:rFonts w:cs="Arial"/>
          <w:lang w:eastAsia="en-AU"/>
        </w:rPr>
        <w:t>help</w:t>
      </w:r>
      <w:r w:rsidR="00D55AEF">
        <w:rPr>
          <w:rFonts w:cs="Arial"/>
          <w:lang w:eastAsia="en-AU"/>
        </w:rPr>
        <w:t xml:space="preserve"> </w:t>
      </w:r>
      <w:r w:rsidR="009E204B">
        <w:rPr>
          <w:rFonts w:cs="Arial"/>
          <w:lang w:eastAsia="en-AU"/>
        </w:rPr>
        <w:t xml:space="preserve">to build a better picture of how these processes and functions </w:t>
      </w:r>
      <w:r w:rsidR="0086589B">
        <w:rPr>
          <w:rFonts w:cs="Arial"/>
          <w:lang w:eastAsia="en-AU"/>
        </w:rPr>
        <w:t>intersect</w:t>
      </w:r>
      <w:r w:rsidR="00BF2401">
        <w:rPr>
          <w:rFonts w:cs="Arial"/>
          <w:lang w:eastAsia="en-AU"/>
        </w:rPr>
        <w:t xml:space="preserve">. </w:t>
      </w:r>
    </w:p>
    <w:p w14:paraId="0D3480FE" w14:textId="64D06571" w:rsidR="00BF2401" w:rsidRDefault="00BF2401" w:rsidP="00BF2401">
      <w:pPr>
        <w:pStyle w:val="VLADocumentText"/>
      </w:pPr>
      <w:r>
        <w:t xml:space="preserve">In our submission </w:t>
      </w:r>
      <w:r w:rsidR="001266DF">
        <w:t xml:space="preserve">existence of the preceding decision made by </w:t>
      </w:r>
      <w:r w:rsidR="001266DF" w:rsidRPr="008D05AD">
        <w:t>an independent judicial officer</w:t>
      </w:r>
      <w:r w:rsidR="001266DF">
        <w:t>,</w:t>
      </w:r>
      <w:r w:rsidR="001266DF" w:rsidRPr="008D05AD">
        <w:t xml:space="preserve"> </w:t>
      </w:r>
      <w:r w:rsidR="001266DF">
        <w:t xml:space="preserve">that the prosecution has not demonstrated sufficient </w:t>
      </w:r>
      <w:r w:rsidR="001266DF" w:rsidRPr="008D05AD">
        <w:t>evidence</w:t>
      </w:r>
      <w:r w:rsidR="001266DF">
        <w:t xml:space="preserve"> to support a conviction, itself provides cause for the DPP to </w:t>
      </w:r>
      <w:r w:rsidR="001266DF" w:rsidRPr="008D05AD">
        <w:t xml:space="preserve">proactively demonstrate </w:t>
      </w:r>
      <w:r w:rsidR="001266DF">
        <w:t xml:space="preserve">the </w:t>
      </w:r>
      <w:r w:rsidR="001266DF" w:rsidRPr="008D05AD">
        <w:t xml:space="preserve">need for </w:t>
      </w:r>
      <w:r w:rsidR="001266DF">
        <w:t xml:space="preserve">the </w:t>
      </w:r>
      <w:r w:rsidR="001266DF" w:rsidRPr="008D05AD">
        <w:t xml:space="preserve">direct indictment </w:t>
      </w:r>
      <w:r w:rsidR="001266DF">
        <w:t xml:space="preserve">and for the prosecutors to ensure they have sufficient evidence for a trial. </w:t>
      </w:r>
      <w:r>
        <w:rPr>
          <w:rFonts w:cs="Arial"/>
          <w:lang w:eastAsia="en-AU"/>
        </w:rPr>
        <w:t xml:space="preserve">Now that </w:t>
      </w:r>
      <w:r>
        <w:rPr>
          <w:i/>
          <w:iCs/>
        </w:rPr>
        <w:t>Prasad</w:t>
      </w:r>
      <w:r>
        <w:t xml:space="preserve"> directions have been held to be</w:t>
      </w:r>
      <w:r w:rsidRPr="00CB47A2">
        <w:t xml:space="preserve"> contrary to law</w:t>
      </w:r>
      <w:r>
        <w:t>,</w:t>
      </w:r>
      <w:r>
        <w:rPr>
          <w:rStyle w:val="FootnoteReference"/>
        </w:rPr>
        <w:footnoteReference w:id="66"/>
      </w:r>
      <w:r>
        <w:t xml:space="preserve"> committal proceedings are a last independent protection against the prosecution of misconceived or weak cases. </w:t>
      </w:r>
    </w:p>
    <w:p w14:paraId="1ECCA1EE" w14:textId="62250CA1" w:rsidR="00633B81" w:rsidRPr="00E44D59" w:rsidRDefault="00633B81" w:rsidP="00315A77">
      <w:pPr>
        <w:pStyle w:val="Heading1"/>
      </w:pPr>
      <w:bookmarkStart w:id="101" w:name="_Toc17050696"/>
      <w:bookmarkStart w:id="102" w:name="_Toc17155110"/>
      <w:r w:rsidRPr="00E44D59">
        <w:t>Question 15. Is there an appropriate alternative process for committing an accused person to stand trial?</w:t>
      </w:r>
      <w:bookmarkEnd w:id="101"/>
      <w:bookmarkEnd w:id="102"/>
    </w:p>
    <w:p w14:paraId="2B6CE607" w14:textId="7D439472" w:rsidR="00633B81" w:rsidRDefault="00633B81" w:rsidP="00633B81">
      <w:pPr>
        <w:pStyle w:val="VLADocumentText"/>
        <w:rPr>
          <w:lang w:eastAsia="en-AU"/>
        </w:rPr>
      </w:pPr>
      <w:r>
        <w:rPr>
          <w:lang w:eastAsia="en-AU"/>
        </w:rPr>
        <w:t>The processes for committing an accused to stand trial are appropriate for the majority of cases (</w:t>
      </w:r>
      <w:r w:rsidR="00A3690B">
        <w:rPr>
          <w:lang w:eastAsia="en-AU"/>
        </w:rPr>
        <w:t xml:space="preserve">that is, </w:t>
      </w:r>
      <w:r>
        <w:rPr>
          <w:lang w:eastAsia="en-AU"/>
        </w:rPr>
        <w:t xml:space="preserve">other than </w:t>
      </w:r>
      <w:r w:rsidR="00A3690B">
        <w:rPr>
          <w:lang w:eastAsia="en-AU"/>
        </w:rPr>
        <w:t xml:space="preserve">the </w:t>
      </w:r>
      <w:r>
        <w:rPr>
          <w:lang w:eastAsia="en-AU"/>
        </w:rPr>
        <w:t>existing alternative processes for child sex-offence complainants)</w:t>
      </w:r>
      <w:r w:rsidRPr="00B44F71">
        <w:rPr>
          <w:lang w:eastAsia="en-AU"/>
        </w:rPr>
        <w:t xml:space="preserve">. </w:t>
      </w:r>
      <w:r>
        <w:rPr>
          <w:lang w:eastAsia="en-AU"/>
        </w:rPr>
        <w:t>We would have concerns with</w:t>
      </w:r>
      <w:r w:rsidRPr="00B44F71">
        <w:rPr>
          <w:lang w:eastAsia="en-AU"/>
        </w:rPr>
        <w:t xml:space="preserve"> alternative processes </w:t>
      </w:r>
      <w:r>
        <w:rPr>
          <w:lang w:eastAsia="en-AU"/>
        </w:rPr>
        <w:t xml:space="preserve">which </w:t>
      </w:r>
      <w:r w:rsidRPr="00B44F71">
        <w:rPr>
          <w:lang w:eastAsia="en-AU"/>
        </w:rPr>
        <w:t>would not involve the independent scrutiny of the prosecution case</w:t>
      </w:r>
      <w:r>
        <w:rPr>
          <w:lang w:eastAsia="en-AU"/>
        </w:rPr>
        <w:t>,</w:t>
      </w:r>
      <w:r w:rsidRPr="00B44F71">
        <w:rPr>
          <w:lang w:eastAsia="en-AU"/>
        </w:rPr>
        <w:t xml:space="preserve"> would not as affectively facilitate early resolution or refinement of issues for trial</w:t>
      </w:r>
      <w:r>
        <w:rPr>
          <w:lang w:eastAsia="en-AU"/>
        </w:rPr>
        <w:t>,</w:t>
      </w:r>
      <w:r w:rsidRPr="00B44F71">
        <w:rPr>
          <w:lang w:eastAsia="en-AU"/>
        </w:rPr>
        <w:t xml:space="preserve"> or disclose inadequacies in the prosecution case</w:t>
      </w:r>
      <w:r w:rsidR="00A3690B">
        <w:rPr>
          <w:lang w:eastAsia="en-AU"/>
        </w:rPr>
        <w:t xml:space="preserve">. This </w:t>
      </w:r>
      <w:r>
        <w:rPr>
          <w:lang w:eastAsia="en-AU"/>
        </w:rPr>
        <w:t>would create further congestion and delays in the higher courts</w:t>
      </w:r>
      <w:r w:rsidRPr="00B44F71">
        <w:rPr>
          <w:lang w:eastAsia="en-AU"/>
        </w:rPr>
        <w:t>.</w:t>
      </w:r>
    </w:p>
    <w:p w14:paraId="15B4DB22" w14:textId="29D09D7B" w:rsidR="00633B81" w:rsidRPr="00C80171" w:rsidRDefault="00893B79" w:rsidP="00633B81">
      <w:pPr>
        <w:pStyle w:val="VLADocumentText"/>
      </w:pPr>
      <w:r>
        <w:rPr>
          <w:lang w:eastAsia="en-AU"/>
        </w:rPr>
        <w:t xml:space="preserve">In the absence of formal evaluations of alternative processes, </w:t>
      </w:r>
      <w:r w:rsidR="00633B81" w:rsidRPr="00C80171">
        <w:rPr>
          <w:lang w:eastAsia="en-AU"/>
        </w:rPr>
        <w:t xml:space="preserve">VLA has sought feedback from our interstate legal aid practitioners with extensive experience in the indictable system in other Australian jurisdictions. These experiences give insight beyond a comparison of the legislative frameworks, into the practical application of the system and the effect on their work. </w:t>
      </w:r>
      <w:r w:rsidR="00633B81">
        <w:rPr>
          <w:lang w:eastAsia="en-AU"/>
        </w:rPr>
        <w:t xml:space="preserve">The most </w:t>
      </w:r>
      <w:r w:rsidR="00633B81" w:rsidRPr="00C80171">
        <w:rPr>
          <w:lang w:eastAsia="en-AU"/>
        </w:rPr>
        <w:t xml:space="preserve">commonly </w:t>
      </w:r>
      <w:r w:rsidR="00633B81">
        <w:rPr>
          <w:lang w:eastAsia="en-AU"/>
        </w:rPr>
        <w:t xml:space="preserve">reported </w:t>
      </w:r>
      <w:r w:rsidR="00633B81" w:rsidRPr="00C80171">
        <w:rPr>
          <w:lang w:eastAsia="en-AU"/>
        </w:rPr>
        <w:t xml:space="preserve">view that disclosure was the most critical aspect of reducing delay </w:t>
      </w:r>
      <w:r w:rsidR="00A3690B">
        <w:rPr>
          <w:lang w:eastAsia="en-AU"/>
        </w:rPr>
        <w:t xml:space="preserve">in </w:t>
      </w:r>
      <w:r w:rsidR="00633B81" w:rsidRPr="00C80171">
        <w:rPr>
          <w:lang w:eastAsia="en-AU"/>
        </w:rPr>
        <w:t xml:space="preserve">any </w:t>
      </w:r>
      <w:r w:rsidR="00633B81">
        <w:rPr>
          <w:lang w:eastAsia="en-AU"/>
        </w:rPr>
        <w:t>pre-trial</w:t>
      </w:r>
      <w:r w:rsidR="00633B81" w:rsidRPr="00C80171">
        <w:rPr>
          <w:lang w:eastAsia="en-AU"/>
        </w:rPr>
        <w:t xml:space="preserve"> system, and that </w:t>
      </w:r>
      <w:r w:rsidR="00633B81">
        <w:rPr>
          <w:lang w:eastAsia="en-AU"/>
        </w:rPr>
        <w:t xml:space="preserve">removing </w:t>
      </w:r>
      <w:r w:rsidR="00633B81" w:rsidRPr="00C80171">
        <w:rPr>
          <w:lang w:eastAsia="en-AU"/>
        </w:rPr>
        <w:t xml:space="preserve">committals had neither improved disclosure nor reduced delays in those jurisdictions. </w:t>
      </w:r>
      <w:r w:rsidR="00633B81">
        <w:t>Every other jurisdiction has</w:t>
      </w:r>
      <w:r w:rsidR="00A3690B">
        <w:t xml:space="preserve"> reportedly</w:t>
      </w:r>
      <w:r w:rsidR="00633B81">
        <w:t xml:space="preserve"> experienced bottlenecks in the higher courts.</w:t>
      </w:r>
    </w:p>
    <w:p w14:paraId="5647604C" w14:textId="43365412" w:rsidR="00633B81" w:rsidRDefault="00633B81" w:rsidP="00633B81">
      <w:pPr>
        <w:pStyle w:val="VLADocumentText"/>
      </w:pPr>
      <w:r w:rsidRPr="00F01F72">
        <w:rPr>
          <w:rFonts w:cs="Arial"/>
          <w:lang w:val="en-US" w:eastAsia="en-AU"/>
        </w:rPr>
        <w:t>T</w:t>
      </w:r>
      <w:r w:rsidRPr="00F01F72">
        <w:rPr>
          <w:rFonts w:cs="Arial"/>
        </w:rPr>
        <w:t>he Magistrates’ Court provides a cost-effective, flexible and responsive jurisdiction for the case</w:t>
      </w:r>
      <w:r>
        <w:t xml:space="preserve"> management of the majority of committals. As an example, the Melbourne Magistrates’ Court has a dedicated committals stream with a group of </w:t>
      </w:r>
      <w:r w:rsidR="00A3690B">
        <w:t>m</w:t>
      </w:r>
      <w:r>
        <w:t>agistrates who generally promote and maintain continuity of committals. They</w:t>
      </w:r>
      <w:r w:rsidDel="00345F98">
        <w:t xml:space="preserve"> </w:t>
      </w:r>
      <w:r>
        <w:t>can do this to enable matters to be brought forward if they are relatively simple, or there is some imperative, such a child</w:t>
      </w:r>
      <w:r w:rsidR="00A3690B">
        <w:t xml:space="preserve"> or </w:t>
      </w:r>
      <w:r>
        <w:t xml:space="preserve">vulnerable witness and to enable continuity of case management. </w:t>
      </w:r>
    </w:p>
    <w:p w14:paraId="0206808C" w14:textId="3F9661A4" w:rsidR="00633B81" w:rsidRDefault="00633B81" w:rsidP="00633B81">
      <w:pPr>
        <w:pStyle w:val="VLADocumentText"/>
      </w:pPr>
      <w:r>
        <w:t>In our submission, the Magistrates’ Court is the most suitable location for case management</w:t>
      </w:r>
      <w:r w:rsidR="00A3690B">
        <w:t xml:space="preserve"> of pre-trial proceedings</w:t>
      </w:r>
      <w:r>
        <w:t xml:space="preserve">. If a pre-trial ruling is appropriate, there should be a mechanism to </w:t>
      </w:r>
      <w:r w:rsidR="00A350BC">
        <w:t xml:space="preserve">seek </w:t>
      </w:r>
      <w:r>
        <w:t>pre-trial ruling at the directions hearing stage, well before commencement of the trial. Ideally any rulings required could be identified at the committal mention stage, with a mechanism to go straight to the higher court</w:t>
      </w:r>
      <w:r w:rsidR="00C832D4">
        <w:t>.</w:t>
      </w:r>
      <w:r>
        <w:t xml:space="preserve"> </w:t>
      </w:r>
      <w:r w:rsidR="00C832D4">
        <w:t>T</w:t>
      </w:r>
      <w:r>
        <w:t xml:space="preserve">he informant </w:t>
      </w:r>
      <w:r w:rsidR="00C832D4">
        <w:t xml:space="preserve">could be </w:t>
      </w:r>
      <w:r>
        <w:t>cross</w:t>
      </w:r>
      <w:r w:rsidR="00C832D4">
        <w:t>-</w:t>
      </w:r>
      <w:r>
        <w:t xml:space="preserve">examined before </w:t>
      </w:r>
      <w:r w:rsidR="00C832D4">
        <w:t xml:space="preserve">the </w:t>
      </w:r>
      <w:r>
        <w:t xml:space="preserve">judge, who makes a ruling, </w:t>
      </w:r>
      <w:r w:rsidR="00C832D4">
        <w:t xml:space="preserve">and </w:t>
      </w:r>
      <w:r>
        <w:t xml:space="preserve">then sends the proceedings back to committal for case management. This could be done with a practice direction of the County Court, without legislative amendment. </w:t>
      </w:r>
    </w:p>
    <w:p w14:paraId="595FCF71" w14:textId="67218215" w:rsidR="00633B81" w:rsidRPr="00DA21D6" w:rsidRDefault="00A3690B" w:rsidP="00633B81">
      <w:pPr>
        <w:pStyle w:val="VLADocumentText"/>
      </w:pPr>
      <w:r>
        <w:t>A</w:t>
      </w:r>
      <w:r w:rsidR="00633B81">
        <w:t xml:space="preserve">bolishing committals would result in an increase in the number and length of pre-trial proceedings in the superior courts. </w:t>
      </w:r>
      <w:r w:rsidR="6932AAE7">
        <w:t>A</w:t>
      </w:r>
      <w:r w:rsidR="627682EC">
        <w:t>n</w:t>
      </w:r>
      <w:r w:rsidR="151317D5">
        <w:t>e</w:t>
      </w:r>
      <w:r w:rsidR="627682EC">
        <w:t>cdotally we are ad</w:t>
      </w:r>
      <w:r w:rsidR="3673C0A2">
        <w:t xml:space="preserve">vised by a Director of Criminal Law </w:t>
      </w:r>
      <w:r w:rsidR="00D55AEF">
        <w:t xml:space="preserve">at </w:t>
      </w:r>
      <w:r w:rsidR="422FBB97">
        <w:t>Legal Aid Queensland</w:t>
      </w:r>
      <w:r w:rsidR="11A49142">
        <w:t xml:space="preserve"> </w:t>
      </w:r>
      <w:r w:rsidR="00A124B5">
        <w:t xml:space="preserve">that </w:t>
      </w:r>
      <w:r w:rsidR="00633B81">
        <w:t xml:space="preserve">there </w:t>
      </w:r>
      <w:r w:rsidR="11A49142">
        <w:t>are</w:t>
      </w:r>
      <w:r w:rsidR="00633B81">
        <w:t xml:space="preserve"> greater numbers of </w:t>
      </w:r>
      <w:r w:rsidR="00633B81" w:rsidRPr="00A07069">
        <w:rPr>
          <w:i/>
        </w:rPr>
        <w:t>Basha</w:t>
      </w:r>
      <w:r w:rsidR="00633B81">
        <w:t xml:space="preserve">-like hearings held. </w:t>
      </w:r>
      <w:r w:rsidR="00C832D4">
        <w:t xml:space="preserve"> A similar increase in Victoria </w:t>
      </w:r>
      <w:r w:rsidR="00633B81">
        <w:t>w</w:t>
      </w:r>
      <w:r w:rsidR="00BE7FD2">
        <w:t>ould</w:t>
      </w:r>
      <w:r w:rsidR="00633B81">
        <w:t xml:space="preserve"> significantly impact on the already strained capacity of </w:t>
      </w:r>
      <w:r w:rsidR="008311D1">
        <w:t xml:space="preserve">our </w:t>
      </w:r>
      <w:r w:rsidR="00633B81">
        <w:t xml:space="preserve">higher </w:t>
      </w:r>
      <w:r w:rsidR="00633B81">
        <w:lastRenderedPageBreak/>
        <w:t xml:space="preserve">courts, particularly the regional circuit courts and the Supreme Court in Melbourne. This will likely lead to greater delay in time to trial due to the reduced capacity </w:t>
      </w:r>
      <w:r w:rsidR="00633B81" w:rsidRPr="00A3690B">
        <w:t>of the Courts to hear matters given their limited capacity as compared to the Magistrates’</w:t>
      </w:r>
      <w:r w:rsidR="00633B81" w:rsidRPr="00DA21D6">
        <w:t xml:space="preserve"> Court. </w:t>
      </w:r>
      <w:r w:rsidR="008311D1">
        <w:t xml:space="preserve">There are also </w:t>
      </w:r>
      <w:r w:rsidR="00103249">
        <w:t xml:space="preserve">the </w:t>
      </w:r>
      <w:r w:rsidR="008311D1">
        <w:t xml:space="preserve">cost </w:t>
      </w:r>
      <w:r w:rsidR="00103249">
        <w:t xml:space="preserve">implications of </w:t>
      </w:r>
      <w:r w:rsidR="008311D1">
        <w:t>running matters in a more expensive jurisdiction</w:t>
      </w:r>
      <w:r w:rsidR="00103249">
        <w:t>.</w:t>
      </w:r>
    </w:p>
    <w:p w14:paraId="3BBCD47B" w14:textId="7BB23C85" w:rsidR="00633B81" w:rsidRPr="00E44D59" w:rsidRDefault="00836984" w:rsidP="00633B81">
      <w:pPr>
        <w:pStyle w:val="VLADocumentText"/>
        <w:rPr>
          <w:rFonts w:cs="Arial"/>
        </w:rPr>
      </w:pPr>
      <w:r>
        <w:t>Based on the current levels of demand</w:t>
      </w:r>
      <w:r w:rsidR="00BE7FD2">
        <w:t>,</w:t>
      </w:r>
      <w:r>
        <w:t xml:space="preserve"> the</w:t>
      </w:r>
      <w:r w:rsidR="00E72590">
        <w:t xml:space="preserve"> </w:t>
      </w:r>
      <w:r w:rsidR="00A3690B" w:rsidRPr="00DA21D6">
        <w:t xml:space="preserve">County Court has limited capacity to hear more matters, and the investment </w:t>
      </w:r>
      <w:r>
        <w:t xml:space="preserve">required to achieve the objectives of the reform </w:t>
      </w:r>
      <w:r w:rsidR="00A3690B" w:rsidRPr="00DA21D6">
        <w:t xml:space="preserve">would be </w:t>
      </w:r>
      <w:r w:rsidR="00E72590">
        <w:t xml:space="preserve">prohibitively </w:t>
      </w:r>
      <w:r w:rsidR="00A3690B" w:rsidRPr="00DA21D6">
        <w:t>high.</w:t>
      </w:r>
      <w:r w:rsidR="00A3690B" w:rsidRPr="00A3690B">
        <w:t xml:space="preserve"> </w:t>
      </w:r>
      <w:r>
        <w:t xml:space="preserve">We consider increased investment in </w:t>
      </w:r>
      <w:r w:rsidR="00D97036">
        <w:t>better processes to support early resolution will deliver more effective reform.</w:t>
      </w:r>
      <w:r w:rsidR="00A3690B" w:rsidRPr="00A3690B">
        <w:t xml:space="preserve"> </w:t>
      </w:r>
      <w:r w:rsidR="007A21D3">
        <w:t>In our view, t</w:t>
      </w:r>
      <w:r w:rsidR="00633B81" w:rsidRPr="00A3690B">
        <w:t>he Magistrates’ Court is the fastest and cheapest jurisdiction in which to hold these high</w:t>
      </w:r>
      <w:r w:rsidR="00633B81" w:rsidRPr="00FC272E">
        <w:t xml:space="preserve">-volume case management proceedings. Furthermore, resolving matters through a plea following a </w:t>
      </w:r>
      <w:r w:rsidR="00633B81" w:rsidRPr="000E4F8B">
        <w:t>committal</w:t>
      </w:r>
      <w:r w:rsidR="00633B81" w:rsidRPr="00FC272E">
        <w:t xml:space="preserve"> is significantly cheaper, as well as less traumatic for witnesses and victims, than when a plea is entered after the commencement of a</w:t>
      </w:r>
      <w:r w:rsidR="00633B81">
        <w:rPr>
          <w:lang w:eastAsia="en-AU"/>
        </w:rPr>
        <w:t xml:space="preserve"> trial.</w:t>
      </w:r>
    </w:p>
    <w:p w14:paraId="2B159D65" w14:textId="3AF0B5FA" w:rsidR="003F7895" w:rsidRPr="00520475" w:rsidRDefault="003F7895" w:rsidP="00315A77">
      <w:pPr>
        <w:pStyle w:val="Heading1"/>
      </w:pPr>
      <w:bookmarkStart w:id="103" w:name="_Toc17050697"/>
      <w:bookmarkStart w:id="104" w:name="_Toc17155111"/>
      <w:r w:rsidRPr="00E44D59">
        <w:t>Question 16. How effectively do committal proceeding</w:t>
      </w:r>
      <w:r w:rsidR="003B4942">
        <w:t>s</w:t>
      </w:r>
      <w:r w:rsidRPr="00E44D59">
        <w:t xml:space="preserve"> ensure:</w:t>
      </w:r>
      <w:r>
        <w:t xml:space="preserve"> </w:t>
      </w:r>
      <w:r w:rsidRPr="00520475">
        <w:t>a)</w:t>
      </w:r>
      <w:r>
        <w:t xml:space="preserve"> </w:t>
      </w:r>
      <w:r w:rsidR="004B2229">
        <w:t>a</w:t>
      </w:r>
      <w:r w:rsidRPr="00520475">
        <w:t>ppropriate early resolution of cases</w:t>
      </w:r>
      <w:r>
        <w:t xml:space="preserve">; </w:t>
      </w:r>
      <w:r w:rsidRPr="00520475">
        <w:t>b)</w:t>
      </w:r>
      <w:r>
        <w:t xml:space="preserve"> </w:t>
      </w:r>
      <w:r w:rsidR="004B2229">
        <w:t>e</w:t>
      </w:r>
      <w:r w:rsidRPr="00520475">
        <w:t>fficient use of court time</w:t>
      </w:r>
      <w:r>
        <w:t xml:space="preserve">; </w:t>
      </w:r>
      <w:r w:rsidRPr="00520475">
        <w:t>c)</w:t>
      </w:r>
      <w:r>
        <w:t xml:space="preserve"> </w:t>
      </w:r>
      <w:r w:rsidR="004B2229">
        <w:t>p</w:t>
      </w:r>
      <w:r w:rsidRPr="00520475">
        <w:t>arties are adequately prepared for trial?</w:t>
      </w:r>
      <w:bookmarkEnd w:id="103"/>
      <w:bookmarkEnd w:id="104"/>
    </w:p>
    <w:p w14:paraId="6EB07EEE" w14:textId="767D4680" w:rsidR="00012802" w:rsidRDefault="001725DA" w:rsidP="002A305D">
      <w:pPr>
        <w:pStyle w:val="VLADocumentText"/>
        <w:rPr>
          <w:lang w:eastAsia="en-AU"/>
        </w:rPr>
      </w:pPr>
      <w:r>
        <w:rPr>
          <w:lang w:eastAsia="en-AU"/>
        </w:rPr>
        <w:t>In our experience, well-run and prepared c</w:t>
      </w:r>
      <w:r w:rsidRPr="002A305D">
        <w:rPr>
          <w:lang w:eastAsia="en-AU"/>
        </w:rPr>
        <w:t xml:space="preserve">ommittals are </w:t>
      </w:r>
      <w:r>
        <w:rPr>
          <w:lang w:eastAsia="en-AU"/>
        </w:rPr>
        <w:t xml:space="preserve">extremely effective at </w:t>
      </w:r>
      <w:r w:rsidRPr="002A305D">
        <w:rPr>
          <w:lang w:eastAsia="en-AU"/>
        </w:rPr>
        <w:t>ensur</w:t>
      </w:r>
      <w:r>
        <w:rPr>
          <w:lang w:eastAsia="en-AU"/>
        </w:rPr>
        <w:t>ing</w:t>
      </w:r>
      <w:r w:rsidRPr="002A305D">
        <w:rPr>
          <w:lang w:eastAsia="en-AU"/>
        </w:rPr>
        <w:t xml:space="preserve"> appropriate early resolution of cases; efficient use of court time; </w:t>
      </w:r>
      <w:r>
        <w:rPr>
          <w:lang w:eastAsia="en-AU"/>
        </w:rPr>
        <w:t>and that</w:t>
      </w:r>
      <w:r w:rsidRPr="002A305D">
        <w:rPr>
          <w:lang w:eastAsia="en-AU"/>
        </w:rPr>
        <w:t xml:space="preserve"> parties are adequately prepared for trial. </w:t>
      </w:r>
    </w:p>
    <w:p w14:paraId="78E8E252" w14:textId="6EBB89F4" w:rsidR="001725DA" w:rsidRDefault="005A66C7" w:rsidP="001725DA">
      <w:pPr>
        <w:pStyle w:val="Heading3"/>
      </w:pPr>
      <w:bookmarkStart w:id="105" w:name="_Toc17155112"/>
      <w:r>
        <w:t>Appropriate e</w:t>
      </w:r>
      <w:r w:rsidR="001725DA">
        <w:t>arly resolution and narrowing of trial issues</w:t>
      </w:r>
      <w:bookmarkEnd w:id="105"/>
    </w:p>
    <w:p w14:paraId="3FB30983" w14:textId="77777777" w:rsidR="004D7996" w:rsidRPr="00A64094" w:rsidRDefault="004D7996" w:rsidP="004D7996">
      <w:pPr>
        <w:pStyle w:val="VLADocumentText"/>
        <w:rPr>
          <w:lang w:eastAsia="en-AU"/>
        </w:rPr>
      </w:pPr>
      <w:r>
        <w:rPr>
          <w:lang w:eastAsia="en-AU"/>
        </w:rPr>
        <w:t>The timing of the entry of a plea of guilty is an important consideration both economically and in terms of bringing a sense of finality for complainants and witnesses. Late entry of pleas of guilty in the higher courts, commonly known as pleas of guilty ‘at the door of the court’ are among the major causes of uncertainty in the listing system and are an inefficient use of court time.</w:t>
      </w:r>
      <w:r>
        <w:rPr>
          <w:rStyle w:val="FootnoteReference"/>
          <w:lang w:eastAsia="en-AU"/>
        </w:rPr>
        <w:footnoteReference w:id="67"/>
      </w:r>
      <w:r>
        <w:rPr>
          <w:lang w:eastAsia="en-AU"/>
        </w:rPr>
        <w:t xml:space="preserve"> </w:t>
      </w:r>
    </w:p>
    <w:p w14:paraId="193F4A85" w14:textId="2A045D28" w:rsidR="001725DA" w:rsidRDefault="001725DA" w:rsidP="001725DA">
      <w:pPr>
        <w:pStyle w:val="VLADocumentText"/>
      </w:pPr>
      <w:r>
        <w:rPr>
          <w:lang w:eastAsia="en-AU"/>
        </w:rPr>
        <w:t xml:space="preserve">As discussed in </w:t>
      </w:r>
      <w:r w:rsidR="0085392E" w:rsidRPr="0085392E">
        <w:rPr>
          <w:b/>
        </w:rPr>
        <w:t>Question</w:t>
      </w:r>
      <w:r w:rsidRPr="0085392E">
        <w:rPr>
          <w:b/>
          <w:lang w:eastAsia="en-AU"/>
        </w:rPr>
        <w:t xml:space="preserve"> 8</w:t>
      </w:r>
      <w:r>
        <w:rPr>
          <w:lang w:eastAsia="en-AU"/>
        </w:rPr>
        <w:t>, d</w:t>
      </w:r>
      <w:r w:rsidRPr="002A305D">
        <w:rPr>
          <w:lang w:eastAsia="en-AU"/>
        </w:rPr>
        <w:t>ata indicates that the majority of matters resolve at or shortly after a committal hearing.</w:t>
      </w:r>
      <w:r w:rsidRPr="00D052D8">
        <w:t xml:space="preserve"> </w:t>
      </w:r>
      <w:r w:rsidRPr="002A305D">
        <w:t>According, to the OPP’s Annual Report 2017-2018, of the guilty pleas achieved that year, 79.4</w:t>
      </w:r>
      <w:r>
        <w:t xml:space="preserve"> per cent</w:t>
      </w:r>
      <w:r w:rsidRPr="002A305D">
        <w:t xml:space="preserve"> were achieved by committal.</w:t>
      </w:r>
      <w:r w:rsidRPr="002A305D">
        <w:rPr>
          <w:rStyle w:val="FootnoteReference"/>
        </w:rPr>
        <w:footnoteReference w:id="68"/>
      </w:r>
      <w:r>
        <w:t xml:space="preserve"> </w:t>
      </w:r>
      <w:r w:rsidRPr="002A305D">
        <w:t xml:space="preserve">Importantly, </w:t>
      </w:r>
      <w:r w:rsidR="007B74C1">
        <w:t xml:space="preserve">the </w:t>
      </w:r>
      <w:r w:rsidRPr="002A305D">
        <w:t xml:space="preserve">time spent on a well-run committal will often be recouped with trials being avoided altogether because </w:t>
      </w:r>
      <w:r w:rsidR="00686CA9">
        <w:t xml:space="preserve">the </w:t>
      </w:r>
      <w:r w:rsidRPr="002A305D">
        <w:t xml:space="preserve">material produced </w:t>
      </w:r>
      <w:r>
        <w:t>p</w:t>
      </w:r>
      <w:r w:rsidRPr="002A305D">
        <w:t xml:space="preserve">rompts the entry of a guilty plea, a discharge, later discontinuance or a remittal to be heard summarily. </w:t>
      </w:r>
    </w:p>
    <w:p w14:paraId="2C1A84FE" w14:textId="1C5F5DD6" w:rsidR="001725DA" w:rsidRDefault="001725DA" w:rsidP="001725DA">
      <w:pPr>
        <w:pStyle w:val="VLADocumentText"/>
        <w:rPr>
          <w:lang w:eastAsia="en-AU"/>
        </w:rPr>
      </w:pPr>
      <w:r w:rsidRPr="002A305D">
        <w:t xml:space="preserve">Equally as important, where a matter does proceed to trial, the well-run committal will result in a more confined trial because it will have narrowed the issues and given parties a thorough basis with which to properly prepare their case. </w:t>
      </w:r>
      <w:r w:rsidRPr="00A64094">
        <w:rPr>
          <w:lang w:eastAsia="en-AU"/>
        </w:rPr>
        <w:t>The evidence given at a committal hearing gives the parties insight into the nature and quality of the evidence that will be given at trial</w:t>
      </w:r>
      <w:r w:rsidR="00686CA9">
        <w:rPr>
          <w:lang w:eastAsia="en-AU"/>
        </w:rPr>
        <w:t xml:space="preserve"> and</w:t>
      </w:r>
      <w:r w:rsidR="00686CA9" w:rsidRPr="00686CA9">
        <w:rPr>
          <w:lang w:eastAsia="en-AU"/>
        </w:rPr>
        <w:t xml:space="preserve"> </w:t>
      </w:r>
      <w:r w:rsidR="00686CA9" w:rsidRPr="00A64094">
        <w:rPr>
          <w:lang w:eastAsia="en-AU"/>
        </w:rPr>
        <w:t xml:space="preserve">is often of pivotal importance to the </w:t>
      </w:r>
      <w:r w:rsidR="00EA20C4" w:rsidRPr="00A64094">
        <w:rPr>
          <w:lang w:eastAsia="en-AU"/>
        </w:rPr>
        <w:t>parties’</w:t>
      </w:r>
      <w:r w:rsidR="00686CA9" w:rsidRPr="00A64094">
        <w:rPr>
          <w:lang w:eastAsia="en-AU"/>
        </w:rPr>
        <w:t xml:space="preserve"> </w:t>
      </w:r>
      <w:r w:rsidR="00686CA9">
        <w:rPr>
          <w:lang w:eastAsia="en-AU"/>
        </w:rPr>
        <w:t>preparation</w:t>
      </w:r>
      <w:r w:rsidR="00686CA9" w:rsidRPr="00A64094">
        <w:rPr>
          <w:lang w:eastAsia="en-AU"/>
        </w:rPr>
        <w:t>.</w:t>
      </w:r>
    </w:p>
    <w:p w14:paraId="77A9B948" w14:textId="77777777" w:rsidR="00E433B6" w:rsidRDefault="00E433B6" w:rsidP="00E433B6">
      <w:pPr>
        <w:rPr>
          <w:lang w:eastAsia="en-AU"/>
        </w:rPr>
      </w:pPr>
    </w:p>
    <w:tbl>
      <w:tblPr>
        <w:tblStyle w:val="TableGrid"/>
        <w:tblW w:w="8647" w:type="dxa"/>
        <w:tblInd w:w="279" w:type="dxa"/>
        <w:tblLayout w:type="fixed"/>
        <w:tblLook w:val="06A0" w:firstRow="1" w:lastRow="0" w:firstColumn="1" w:lastColumn="0" w:noHBand="1" w:noVBand="1"/>
      </w:tblPr>
      <w:tblGrid>
        <w:gridCol w:w="8647"/>
      </w:tblGrid>
      <w:tr w:rsidR="00E433B6" w14:paraId="2B15711E" w14:textId="77777777" w:rsidTr="00D81ABB">
        <w:trPr>
          <w:trHeight w:val="4097"/>
        </w:trPr>
        <w:tc>
          <w:tcPr>
            <w:tcW w:w="8647" w:type="dxa"/>
          </w:tcPr>
          <w:p w14:paraId="126D573C" w14:textId="301BDBDA" w:rsidR="00E433B6" w:rsidRDefault="00E433B6" w:rsidP="00241E56">
            <w:pPr>
              <w:pStyle w:val="VLAclientexampletitle"/>
              <w:rPr>
                <w:lang w:val="en-US"/>
              </w:rPr>
            </w:pPr>
            <w:r w:rsidRPr="003D4AF1">
              <w:rPr>
                <w:lang w:val="en-US"/>
              </w:rPr>
              <w:lastRenderedPageBreak/>
              <w:t>Luke – Role of committal</w:t>
            </w:r>
            <w:r w:rsidR="00D81ABB">
              <w:rPr>
                <w:lang w:val="en-US"/>
              </w:rPr>
              <w:t>s</w:t>
            </w:r>
            <w:r>
              <w:rPr>
                <w:lang w:val="en-US"/>
              </w:rPr>
              <w:t xml:space="preserve"> </w:t>
            </w:r>
            <w:r w:rsidRPr="003D4AF1">
              <w:rPr>
                <w:lang w:val="en-US"/>
              </w:rPr>
              <w:t>in promoting resolution and avoiding costly trials</w:t>
            </w:r>
          </w:p>
          <w:p w14:paraId="07B85B1D" w14:textId="77777777" w:rsidR="00E433B6" w:rsidRPr="00C86114" w:rsidRDefault="00E433B6" w:rsidP="00241E56">
            <w:pPr>
              <w:pStyle w:val="VLAclientexample"/>
            </w:pPr>
            <w:r w:rsidRPr="006314F2">
              <w:rPr>
                <w:rFonts w:eastAsia="Arial"/>
                <w:lang w:val="en-US"/>
              </w:rPr>
              <w:t>Luke</w:t>
            </w:r>
            <w:r w:rsidRPr="006314F2">
              <w:rPr>
                <w:lang w:val="en-US"/>
              </w:rPr>
              <w:t>*</w:t>
            </w:r>
            <w:r>
              <w:rPr>
                <w:lang w:val="en-US"/>
              </w:rPr>
              <w:t xml:space="preserve"> and</w:t>
            </w:r>
            <w:r w:rsidRPr="006314F2">
              <w:rPr>
                <w:rFonts w:eastAsia="Arial"/>
                <w:lang w:val="en-US"/>
              </w:rPr>
              <w:t xml:space="preserve"> three other co-accused were charged with murder. VLA identified pre-committal that </w:t>
            </w:r>
            <w:r>
              <w:rPr>
                <w:rFonts w:eastAsia="Arial"/>
                <w:lang w:val="en-US"/>
              </w:rPr>
              <w:t>a charge of</w:t>
            </w:r>
            <w:r w:rsidRPr="006314F2">
              <w:rPr>
                <w:rFonts w:eastAsia="Arial"/>
                <w:lang w:val="en-US"/>
              </w:rPr>
              <w:t xml:space="preserve"> manslaughter </w:t>
            </w:r>
            <w:r>
              <w:rPr>
                <w:rFonts w:eastAsia="Arial"/>
                <w:lang w:val="en-US"/>
              </w:rPr>
              <w:t xml:space="preserve">was appropriate due to inability to demonstrate the requisite </w:t>
            </w:r>
            <w:r w:rsidRPr="006314F2">
              <w:rPr>
                <w:rFonts w:eastAsia="Arial"/>
                <w:lang w:val="en-US"/>
              </w:rPr>
              <w:t xml:space="preserve">intent. Luke instructed VLA to make an offer to manslaughter. The </w:t>
            </w:r>
            <w:r>
              <w:rPr>
                <w:rFonts w:eastAsia="Arial"/>
                <w:lang w:val="en-US"/>
              </w:rPr>
              <w:t>p</w:t>
            </w:r>
            <w:r w:rsidRPr="006314F2">
              <w:rPr>
                <w:rFonts w:eastAsia="Arial"/>
                <w:lang w:val="en-US"/>
              </w:rPr>
              <w:t>rosecution</w:t>
            </w:r>
            <w:r>
              <w:rPr>
                <w:rFonts w:eastAsia="Arial"/>
                <w:lang w:val="en-US"/>
              </w:rPr>
              <w:t xml:space="preserve"> indicated </w:t>
            </w:r>
            <w:r w:rsidRPr="006314F2">
              <w:rPr>
                <w:rFonts w:eastAsia="Arial"/>
                <w:lang w:val="en-US"/>
              </w:rPr>
              <w:t xml:space="preserve">that the offer would not be considered </w:t>
            </w:r>
            <w:r>
              <w:rPr>
                <w:rFonts w:eastAsia="Arial"/>
                <w:lang w:val="en-US"/>
              </w:rPr>
              <w:t>un</w:t>
            </w:r>
            <w:r w:rsidRPr="006314F2">
              <w:rPr>
                <w:rFonts w:eastAsia="Arial"/>
                <w:lang w:val="en-US"/>
              </w:rPr>
              <w:t xml:space="preserve">til after a committal hearing. A four day committal hearing was conducted involving all 4 accused on the confined basis of cross-examining a single eye </w:t>
            </w:r>
            <w:r w:rsidRPr="00F51420">
              <w:rPr>
                <w:rFonts w:eastAsia="Arial"/>
              </w:rPr>
              <w:t>witness</w:t>
            </w:r>
            <w:r w:rsidRPr="006314F2">
              <w:rPr>
                <w:rFonts w:eastAsia="Arial"/>
                <w:lang w:val="en-US"/>
              </w:rPr>
              <w:t xml:space="preserve"> and pathologist. </w:t>
            </w:r>
          </w:p>
          <w:p w14:paraId="468C117F" w14:textId="77777777" w:rsidR="00E433B6" w:rsidRPr="006314F2" w:rsidRDefault="00E433B6" w:rsidP="00241E56">
            <w:pPr>
              <w:pStyle w:val="VLAclientexample"/>
              <w:rPr>
                <w:rFonts w:eastAsia="Arial"/>
                <w:lang w:val="en-US"/>
              </w:rPr>
            </w:pPr>
            <w:r w:rsidRPr="006314F2">
              <w:rPr>
                <w:rFonts w:eastAsia="Arial"/>
                <w:lang w:val="en-US"/>
              </w:rPr>
              <w:t xml:space="preserve">Post committal the offer to plead to manslaughter was made again and the offer was accepted. This four day </w:t>
            </w:r>
            <w:r w:rsidRPr="00F51420">
              <w:rPr>
                <w:rFonts w:eastAsia="Arial"/>
              </w:rPr>
              <w:t>committal</w:t>
            </w:r>
            <w:r w:rsidRPr="006314F2">
              <w:rPr>
                <w:rFonts w:eastAsia="Arial"/>
                <w:lang w:val="en-US"/>
              </w:rPr>
              <w:t xml:space="preserve"> </w:t>
            </w:r>
            <w:r>
              <w:rPr>
                <w:rFonts w:eastAsia="Arial"/>
                <w:lang w:val="en-US"/>
              </w:rPr>
              <w:t>averted</w:t>
            </w:r>
            <w:r w:rsidRPr="006314F2">
              <w:rPr>
                <w:rFonts w:eastAsia="Arial"/>
                <w:lang w:val="en-US"/>
              </w:rPr>
              <w:t xml:space="preserve"> the need for a trial in the Supreme Court that would have lasted for 20-25 days. </w:t>
            </w:r>
            <w:r>
              <w:br/>
            </w:r>
          </w:p>
          <w:p w14:paraId="06880431" w14:textId="77777777" w:rsidR="00E433B6" w:rsidRPr="00F51420" w:rsidRDefault="00E433B6" w:rsidP="00241E56">
            <w:pPr>
              <w:pStyle w:val="VLAclientexample"/>
            </w:pPr>
            <w:r w:rsidRPr="006314F2">
              <w:rPr>
                <w:rFonts w:eastAsia="Arial"/>
                <w:lang w:val="en-US"/>
              </w:rPr>
              <w:t>*VLA client, not his real name.</w:t>
            </w:r>
            <w:r w:rsidRPr="006314F2">
              <w:rPr>
                <w:lang w:val="en-US"/>
              </w:rPr>
              <w:t xml:space="preserve"> </w:t>
            </w:r>
          </w:p>
        </w:tc>
      </w:tr>
    </w:tbl>
    <w:p w14:paraId="6A41E64A" w14:textId="77777777" w:rsidR="00E433B6" w:rsidRDefault="00E433B6" w:rsidP="00E433B6"/>
    <w:p w14:paraId="5463FD1A" w14:textId="77777777" w:rsidR="00B65352" w:rsidRDefault="004D7996" w:rsidP="00D95B1C">
      <w:pPr>
        <w:pStyle w:val="VLADocumentText"/>
        <w:rPr>
          <w:lang w:eastAsia="en-AU"/>
        </w:rPr>
      </w:pPr>
      <w:r>
        <w:rPr>
          <w:lang w:eastAsia="en-AU"/>
        </w:rPr>
        <w:t xml:space="preserve">These early resolution benefits are magnified </w:t>
      </w:r>
      <w:r w:rsidRPr="00A64094">
        <w:rPr>
          <w:lang w:eastAsia="en-AU"/>
        </w:rPr>
        <w:t xml:space="preserve">in regional circuits. </w:t>
      </w:r>
      <w:r>
        <w:rPr>
          <w:lang w:eastAsia="en-AU"/>
        </w:rPr>
        <w:t>As noted elsewhere in this submission,</w:t>
      </w:r>
      <w:r w:rsidRPr="00A64094">
        <w:rPr>
          <w:lang w:eastAsia="en-AU"/>
        </w:rPr>
        <w:t xml:space="preserve"> </w:t>
      </w:r>
      <w:r>
        <w:rPr>
          <w:lang w:eastAsia="en-AU"/>
        </w:rPr>
        <w:t xml:space="preserve">regional </w:t>
      </w:r>
      <w:r w:rsidRPr="00A64094">
        <w:rPr>
          <w:lang w:eastAsia="en-AU"/>
        </w:rPr>
        <w:t>circuit</w:t>
      </w:r>
      <w:r>
        <w:rPr>
          <w:lang w:eastAsia="en-AU"/>
        </w:rPr>
        <w:t xml:space="preserve"> courts</w:t>
      </w:r>
      <w:r w:rsidRPr="00A64094">
        <w:rPr>
          <w:lang w:eastAsia="en-AU"/>
        </w:rPr>
        <w:t xml:space="preserve"> provide no trial date certainty </w:t>
      </w:r>
      <w:r>
        <w:rPr>
          <w:lang w:eastAsia="en-AU"/>
        </w:rPr>
        <w:t xml:space="preserve">and </w:t>
      </w:r>
      <w:r w:rsidRPr="00A64094">
        <w:rPr>
          <w:lang w:eastAsia="en-AU"/>
        </w:rPr>
        <w:t xml:space="preserve">matters are often left dormant until allocated to a specific circuit and OPP </w:t>
      </w:r>
      <w:r>
        <w:rPr>
          <w:lang w:eastAsia="en-AU"/>
        </w:rPr>
        <w:t>counsel</w:t>
      </w:r>
      <w:r w:rsidRPr="00A64094">
        <w:rPr>
          <w:lang w:eastAsia="en-AU"/>
        </w:rPr>
        <w:t xml:space="preserve">. There is often no continuity of OPP and </w:t>
      </w:r>
      <w:r>
        <w:rPr>
          <w:lang w:eastAsia="en-AU"/>
        </w:rPr>
        <w:t>d</w:t>
      </w:r>
      <w:r w:rsidRPr="00A64094">
        <w:rPr>
          <w:lang w:eastAsia="en-AU"/>
        </w:rPr>
        <w:t xml:space="preserve">efence </w:t>
      </w:r>
      <w:r>
        <w:rPr>
          <w:lang w:eastAsia="en-AU"/>
        </w:rPr>
        <w:t>c</w:t>
      </w:r>
      <w:r w:rsidRPr="00A64094">
        <w:rPr>
          <w:lang w:eastAsia="en-AU"/>
        </w:rPr>
        <w:t>ounsel at circuits and matters often get bumped out of a circuit or do not get reached</w:t>
      </w:r>
      <w:r>
        <w:rPr>
          <w:lang w:eastAsia="en-AU"/>
        </w:rPr>
        <w:t>.</w:t>
      </w:r>
      <w:r w:rsidRPr="00A64094">
        <w:rPr>
          <w:lang w:eastAsia="en-AU"/>
        </w:rPr>
        <w:t xml:space="preserve"> </w:t>
      </w:r>
      <w:r>
        <w:rPr>
          <w:lang w:eastAsia="en-AU"/>
        </w:rPr>
        <w:t>T</w:t>
      </w:r>
      <w:r w:rsidRPr="00A64094">
        <w:rPr>
          <w:lang w:eastAsia="en-AU"/>
        </w:rPr>
        <w:t>his does</w:t>
      </w:r>
      <w:r>
        <w:rPr>
          <w:lang w:eastAsia="en-AU"/>
        </w:rPr>
        <w:t xml:space="preserve"> not</w:t>
      </w:r>
      <w:r w:rsidRPr="00A64094">
        <w:rPr>
          <w:lang w:eastAsia="en-AU"/>
        </w:rPr>
        <w:t xml:space="preserve"> encourage early resolution as there </w:t>
      </w:r>
      <w:r>
        <w:rPr>
          <w:lang w:eastAsia="en-AU"/>
        </w:rPr>
        <w:t xml:space="preserve">may be </w:t>
      </w:r>
      <w:r w:rsidRPr="00A64094">
        <w:rPr>
          <w:lang w:eastAsia="en-AU"/>
        </w:rPr>
        <w:t>a reluctance to work on a matter</w:t>
      </w:r>
      <w:r>
        <w:rPr>
          <w:lang w:eastAsia="en-AU"/>
        </w:rPr>
        <w:t>, from both sides,</w:t>
      </w:r>
      <w:r w:rsidRPr="00A64094">
        <w:rPr>
          <w:lang w:eastAsia="en-AU"/>
        </w:rPr>
        <w:t xml:space="preserve"> if there is a high degree of uncertainty as to whether it will get on or not. </w:t>
      </w:r>
      <w:r>
        <w:rPr>
          <w:lang w:eastAsia="en-AU"/>
        </w:rPr>
        <w:t>If committal proceedings</w:t>
      </w:r>
      <w:r w:rsidR="00CF7FBB">
        <w:rPr>
          <w:lang w:eastAsia="en-AU"/>
        </w:rPr>
        <w:t xml:space="preserve"> are</w:t>
      </w:r>
      <w:r>
        <w:rPr>
          <w:lang w:eastAsia="en-AU"/>
        </w:rPr>
        <w:t xml:space="preserve"> not available in regional circuits</w:t>
      </w:r>
      <w:r w:rsidR="00CF7FBB">
        <w:rPr>
          <w:lang w:eastAsia="en-AU"/>
        </w:rPr>
        <w:t>,</w:t>
      </w:r>
      <w:r>
        <w:rPr>
          <w:lang w:eastAsia="en-AU"/>
        </w:rPr>
        <w:t xml:space="preserve"> it may eliminate one of the earliest opportunities for early engagement and resolution between the parties. </w:t>
      </w:r>
    </w:p>
    <w:p w14:paraId="5EB5841E" w14:textId="77777777" w:rsidR="005A66C7" w:rsidRDefault="005A66C7" w:rsidP="005A66C7">
      <w:pPr>
        <w:pStyle w:val="Heading3"/>
      </w:pPr>
      <w:bookmarkStart w:id="106" w:name="_Toc17155113"/>
      <w:r>
        <w:t>Efficient use of court time</w:t>
      </w:r>
      <w:bookmarkEnd w:id="106"/>
    </w:p>
    <w:p w14:paraId="60112E3A" w14:textId="0C46D322" w:rsidR="005A66C7" w:rsidRPr="002A305D" w:rsidRDefault="005A66C7" w:rsidP="005A66C7">
      <w:pPr>
        <w:pStyle w:val="VLADocumentText"/>
        <w:rPr>
          <w:rFonts w:cs="Arial"/>
        </w:rPr>
      </w:pPr>
      <w:r>
        <w:rPr>
          <w:rFonts w:cs="Arial"/>
        </w:rPr>
        <w:t>VLA supports measures that will increase efficiency in the criminal justice system, particularly given the current levels of demand impacting across the system.</w:t>
      </w:r>
      <w:r w:rsidRPr="002A305D">
        <w:rPr>
          <w:rFonts w:cs="Arial"/>
        </w:rPr>
        <w:t xml:space="preserve"> </w:t>
      </w:r>
      <w:r>
        <w:rPr>
          <w:rFonts w:cs="Arial"/>
        </w:rPr>
        <w:t xml:space="preserve">There are a number of factors contributing to the growing demand, including population growth, investment in enforcement and the increasing complexity of criminal prosecutions. </w:t>
      </w:r>
      <w:r w:rsidRPr="002A305D">
        <w:rPr>
          <w:rFonts w:cs="Arial"/>
        </w:rPr>
        <w:t>This growing volume directly impacts on capacity of all courts to hear and finalise matters and has resulted in reduced clearance rates and delays. For example, the time to trial for custody matters in the County Court has increased from an average of 8 months in 2015-2016 to an average of 10 months as at August 2019.</w:t>
      </w:r>
      <w:r w:rsidR="0042106D">
        <w:rPr>
          <w:rFonts w:cs="Arial"/>
        </w:rPr>
        <w:t xml:space="preserve"> </w:t>
      </w:r>
      <w:r w:rsidRPr="002A305D">
        <w:rPr>
          <w:rFonts w:cs="Arial"/>
        </w:rPr>
        <w:t>For 5-day trials, this has increased from approximately 9 months in 2015-2016 to 12 months at present.</w:t>
      </w:r>
      <w:r w:rsidR="0042106D">
        <w:rPr>
          <w:rStyle w:val="FootnoteReference"/>
          <w:rFonts w:cs="Arial"/>
        </w:rPr>
        <w:footnoteReference w:id="69"/>
      </w:r>
      <w:r w:rsidRPr="002A305D">
        <w:rPr>
          <w:rFonts w:cs="Arial"/>
        </w:rPr>
        <w:t xml:space="preserve"> </w:t>
      </w:r>
    </w:p>
    <w:p w14:paraId="0E273F1D" w14:textId="77777777" w:rsidR="005A66C7" w:rsidRPr="002A305D" w:rsidRDefault="005A66C7" w:rsidP="005A66C7">
      <w:pPr>
        <w:pStyle w:val="VLADocumentText"/>
        <w:rPr>
          <w:rFonts w:cs="Arial"/>
        </w:rPr>
      </w:pPr>
      <w:r w:rsidRPr="002A305D">
        <w:rPr>
          <w:rFonts w:cs="Arial"/>
        </w:rPr>
        <w:t>Alongside this documented increase in volume, there has been an increase in the complexity, in both clients and cases.</w:t>
      </w:r>
      <w:r w:rsidRPr="002A305D">
        <w:rPr>
          <w:rStyle w:val="FootnoteReference"/>
        </w:rPr>
        <w:footnoteReference w:id="70"/>
      </w:r>
      <w:r w:rsidRPr="002A305D">
        <w:t xml:space="preserve"> </w:t>
      </w:r>
      <w:r w:rsidRPr="002A305D">
        <w:rPr>
          <w:rFonts w:cs="Arial"/>
        </w:rPr>
        <w:t>Furthermore, VLA has observed an increase in lengthier trials which has resulted in a significant increase in our operating costs. In 2017/18, the cost of funding indictable matters was $31.8 million, an increase from $26.9 million recorded the previous year.</w:t>
      </w:r>
      <w:r w:rsidRPr="002A305D">
        <w:rPr>
          <w:rStyle w:val="FootnoteReference"/>
          <w:rFonts w:cs="Arial"/>
        </w:rPr>
        <w:footnoteReference w:id="71"/>
      </w:r>
      <w:r w:rsidRPr="002A305D">
        <w:rPr>
          <w:rFonts w:cs="Arial"/>
        </w:rPr>
        <w:t xml:space="preserve"> This has largely been attributed to a number of very long, multi-accused Commonwealth cases. </w:t>
      </w:r>
    </w:p>
    <w:p w14:paraId="12ACFF6C" w14:textId="77777777" w:rsidR="005A66C7" w:rsidRDefault="005A66C7" w:rsidP="005A66C7">
      <w:pPr>
        <w:pStyle w:val="VLADocumentText"/>
      </w:pPr>
      <w:r w:rsidRPr="002A305D">
        <w:lastRenderedPageBreak/>
        <w:t xml:space="preserve">The criminal justice system is therefore collectively suffering from an increase in case initiations, complexity, delay and reduced finalisation rates across all jurisdictions with the problems interconnected between the </w:t>
      </w:r>
      <w:r>
        <w:t>c</w:t>
      </w:r>
      <w:r w:rsidRPr="002A305D">
        <w:t xml:space="preserve">ourts. </w:t>
      </w:r>
      <w:r>
        <w:t xml:space="preserve">This affects everyone involved in the system: victims, witnesses and accused people, </w:t>
      </w:r>
      <w:r w:rsidRPr="002A305D">
        <w:t xml:space="preserve">especially those in custody. </w:t>
      </w:r>
      <w:r>
        <w:t>We also note that c</w:t>
      </w:r>
      <w:r w:rsidRPr="002A305D">
        <w:t xml:space="preserve">hanges to the </w:t>
      </w:r>
      <w:r w:rsidRPr="002A305D">
        <w:rPr>
          <w:i/>
        </w:rPr>
        <w:t>Bail Act 1977</w:t>
      </w:r>
      <w:r w:rsidRPr="002A305D">
        <w:t xml:space="preserve"> in May and July 2018, have led to more people being remanded, bringing with it increased pressure on Corrections and the </w:t>
      </w:r>
      <w:r>
        <w:t>c</w:t>
      </w:r>
      <w:r w:rsidRPr="002A305D">
        <w:t xml:space="preserve">ourts. </w:t>
      </w:r>
    </w:p>
    <w:p w14:paraId="223B4BD7" w14:textId="77777777" w:rsidR="00B65352" w:rsidRDefault="00B65352" w:rsidP="00B65352"/>
    <w:tbl>
      <w:tblPr>
        <w:tblStyle w:val="TableGrid"/>
        <w:tblW w:w="0" w:type="auto"/>
        <w:tblInd w:w="421" w:type="dxa"/>
        <w:tblLook w:val="04A0" w:firstRow="1" w:lastRow="0" w:firstColumn="1" w:lastColumn="0" w:noHBand="0" w:noVBand="1"/>
      </w:tblPr>
      <w:tblGrid>
        <w:gridCol w:w="8505"/>
      </w:tblGrid>
      <w:tr w:rsidR="0035700D" w14:paraId="0B28DE32" w14:textId="77777777" w:rsidTr="00F27015">
        <w:trPr>
          <w:trHeight w:val="2993"/>
        </w:trPr>
        <w:tc>
          <w:tcPr>
            <w:tcW w:w="8505" w:type="dxa"/>
          </w:tcPr>
          <w:p w14:paraId="637CDD88" w14:textId="3858D184" w:rsidR="007E6482" w:rsidRDefault="0035700D" w:rsidP="00D81ABB">
            <w:pPr>
              <w:pStyle w:val="VLAclientexampletitle"/>
            </w:pPr>
            <w:r>
              <w:t>Sam</w:t>
            </w:r>
            <w:r w:rsidR="00B65352">
              <w:t xml:space="preserve"> - </w:t>
            </w:r>
            <w:r w:rsidR="005B7E96">
              <w:t>T</w:t>
            </w:r>
            <w:r w:rsidR="00B65352">
              <w:t xml:space="preserve">he value of committal </w:t>
            </w:r>
            <w:r w:rsidR="007E6482">
              <w:t xml:space="preserve">proceedings </w:t>
            </w:r>
            <w:r w:rsidR="00B65352">
              <w:t>in bail</w:t>
            </w:r>
          </w:p>
          <w:p w14:paraId="777E5906" w14:textId="77777777" w:rsidR="005B7E96" w:rsidRDefault="0035700D" w:rsidP="007E6482">
            <w:pPr>
              <w:pStyle w:val="VLAclientexample"/>
            </w:pPr>
            <w:r>
              <w:t xml:space="preserve">Sam* was charged with murder. The issue was self-defence. There was a two day committal, where the pathologist, blood splatter expert and civilian witness, revealed a strong case in support of self-defence. </w:t>
            </w:r>
          </w:p>
          <w:p w14:paraId="4AFB961E" w14:textId="625F7912" w:rsidR="0035700D" w:rsidRDefault="0035700D" w:rsidP="007E6482">
            <w:pPr>
              <w:pStyle w:val="VLAclientexample"/>
            </w:pPr>
            <w:r>
              <w:t>This resulted in the Magistrate granting the client trial bail. Had the committal hearing not been conducted the client would have spent a year on remand pending trial.</w:t>
            </w:r>
          </w:p>
          <w:p w14:paraId="03B4868D" w14:textId="77777777" w:rsidR="00D81ABB" w:rsidRDefault="00D81ABB" w:rsidP="00D81ABB"/>
          <w:p w14:paraId="30BAD923" w14:textId="77777777" w:rsidR="0035700D" w:rsidRDefault="0035700D" w:rsidP="00241E56">
            <w:pPr>
              <w:pStyle w:val="VLAclientexample"/>
              <w:rPr>
                <w:rFonts w:eastAsia="Arial"/>
                <w:highlight w:val="yellow"/>
              </w:rPr>
            </w:pPr>
            <w:r w:rsidRPr="00A41F69">
              <w:rPr>
                <w:rFonts w:eastAsia="Arial"/>
              </w:rPr>
              <w:t>*VLA client, not his real name.</w:t>
            </w:r>
          </w:p>
        </w:tc>
      </w:tr>
    </w:tbl>
    <w:p w14:paraId="2958080D" w14:textId="77777777" w:rsidR="0035700D" w:rsidRDefault="0035700D" w:rsidP="001C3ADA"/>
    <w:p w14:paraId="11CF9B71" w14:textId="77777777" w:rsidR="005A66C7" w:rsidRPr="002A305D" w:rsidRDefault="005A66C7" w:rsidP="005A66C7">
      <w:pPr>
        <w:pStyle w:val="VLADocumentText"/>
        <w:rPr>
          <w:rFonts w:cs="Arial"/>
          <w:spacing w:val="2"/>
        </w:rPr>
      </w:pPr>
      <w:r w:rsidRPr="002A305D">
        <w:rPr>
          <w:rFonts w:cs="Arial"/>
        </w:rPr>
        <w:t xml:space="preserve">In this context, the idea of eliminating committal proceedings as a </w:t>
      </w:r>
      <w:r>
        <w:rPr>
          <w:rFonts w:cs="Arial"/>
        </w:rPr>
        <w:t xml:space="preserve">duplicative or </w:t>
      </w:r>
      <w:r w:rsidRPr="002A305D">
        <w:rPr>
          <w:rFonts w:cs="Arial"/>
        </w:rPr>
        <w:t xml:space="preserve">‘redundant’ hearing might be an attractive proposition to save </w:t>
      </w:r>
      <w:r>
        <w:rPr>
          <w:rFonts w:cs="Arial"/>
        </w:rPr>
        <w:t xml:space="preserve">the </w:t>
      </w:r>
      <w:r w:rsidRPr="002A305D">
        <w:rPr>
          <w:rFonts w:cs="Arial"/>
        </w:rPr>
        <w:t>time and cost</w:t>
      </w:r>
      <w:r>
        <w:rPr>
          <w:rFonts w:cs="Arial"/>
        </w:rPr>
        <w:t xml:space="preserve"> associated with that hearing</w:t>
      </w:r>
      <w:r w:rsidRPr="002A305D">
        <w:rPr>
          <w:rFonts w:cs="Arial"/>
        </w:rPr>
        <w:t>. However</w:t>
      </w:r>
      <w:r>
        <w:rPr>
          <w:rFonts w:cs="Arial"/>
          <w:spacing w:val="2"/>
        </w:rPr>
        <w:t>,</w:t>
      </w:r>
      <w:r w:rsidRPr="002A305D">
        <w:rPr>
          <w:rFonts w:cs="Arial"/>
          <w:spacing w:val="2"/>
        </w:rPr>
        <w:t xml:space="preserve"> committal proceedings </w:t>
      </w:r>
      <w:r>
        <w:rPr>
          <w:rFonts w:cs="Arial"/>
          <w:spacing w:val="2"/>
        </w:rPr>
        <w:t>can</w:t>
      </w:r>
      <w:r w:rsidRPr="002A305D">
        <w:rPr>
          <w:rFonts w:cs="Arial"/>
          <w:spacing w:val="2"/>
        </w:rPr>
        <w:t xml:space="preserve">not be looked at in isolation </w:t>
      </w:r>
      <w:r>
        <w:rPr>
          <w:rFonts w:cs="Arial"/>
          <w:spacing w:val="2"/>
        </w:rPr>
        <w:t xml:space="preserve">– rather they are </w:t>
      </w:r>
      <w:r w:rsidRPr="002A305D">
        <w:rPr>
          <w:rFonts w:cs="Arial"/>
          <w:spacing w:val="2"/>
        </w:rPr>
        <w:t xml:space="preserve">a critical pre-requisite for efficiency in the indictable criminal process as a whole. </w:t>
      </w:r>
      <w:r>
        <w:rPr>
          <w:rFonts w:cs="Arial"/>
          <w:spacing w:val="2"/>
        </w:rPr>
        <w:t xml:space="preserve">As noted elsewhere, the value of the committal proceedings is frequently about narrowing or avoiding more costly trial processes. This can also assist to reduce downstream delay in the system. </w:t>
      </w:r>
    </w:p>
    <w:p w14:paraId="648B0348" w14:textId="77777777" w:rsidR="005A66C7" w:rsidRDefault="005A66C7" w:rsidP="005A66C7">
      <w:pPr>
        <w:pStyle w:val="VLADocumentText"/>
      </w:pPr>
      <w:r>
        <w:t>On balance, c</w:t>
      </w:r>
      <w:r w:rsidRPr="002A305D">
        <w:t xml:space="preserve">ommittal proceedings account for only a small proportion of court time in the Magistrates’ Court relative to volume of </w:t>
      </w:r>
      <w:r>
        <w:t xml:space="preserve">matters </w:t>
      </w:r>
      <w:r w:rsidRPr="002A305D">
        <w:t>in that jurisdiction. In 2016-2017, 2607 committals were listed among the 726,249 total listings in the Magistrates’ Court or 0.35</w:t>
      </w:r>
      <w:r>
        <w:t xml:space="preserve"> per cent</w:t>
      </w:r>
      <w:r w:rsidRPr="002A305D">
        <w:t xml:space="preserve"> of the work of that jurisdiction.</w:t>
      </w:r>
      <w:r w:rsidRPr="002A305D">
        <w:rPr>
          <w:rStyle w:val="FootnoteReference"/>
        </w:rPr>
        <w:footnoteReference w:id="72"/>
      </w:r>
      <w:r>
        <w:t xml:space="preserve"> </w:t>
      </w:r>
    </w:p>
    <w:p w14:paraId="442C1027" w14:textId="30AB953D" w:rsidR="005A66C7" w:rsidRPr="002A305D" w:rsidRDefault="005A66C7" w:rsidP="00B56975">
      <w:pPr>
        <w:pStyle w:val="VLADocumentText"/>
      </w:pPr>
      <w:r>
        <w:t>Over the last 10 years, committal proceedings have lasted, on average, 1.47 days.</w:t>
      </w:r>
      <w:r>
        <w:rPr>
          <w:rStyle w:val="FootnoteReference"/>
        </w:rPr>
        <w:footnoteReference w:id="73"/>
      </w:r>
      <w:r w:rsidRPr="002A305D">
        <w:t xml:space="preserve"> </w:t>
      </w:r>
      <w:r>
        <w:t xml:space="preserve">Where </w:t>
      </w:r>
      <w:r w:rsidRPr="002A305D">
        <w:t xml:space="preserve">committal proceedings </w:t>
      </w:r>
      <w:r>
        <w:t>that require more than the average time</w:t>
      </w:r>
      <w:r w:rsidRPr="002A305D">
        <w:t xml:space="preserve">, it is </w:t>
      </w:r>
      <w:r>
        <w:t xml:space="preserve">typically </w:t>
      </w:r>
      <w:r w:rsidRPr="002A305D">
        <w:t xml:space="preserve">because the complexity of the issues involved </w:t>
      </w:r>
      <w:r>
        <w:t xml:space="preserve">require </w:t>
      </w:r>
      <w:r w:rsidRPr="002A305D">
        <w:t xml:space="preserve">a longer hearing. This may be due to a number of accused people </w:t>
      </w:r>
      <w:r>
        <w:t>being</w:t>
      </w:r>
      <w:r w:rsidRPr="002A305D">
        <w:t xml:space="preserve"> involved or </w:t>
      </w:r>
      <w:r>
        <w:t>the scope</w:t>
      </w:r>
      <w:r w:rsidRPr="002A305D">
        <w:t xml:space="preserve"> of the investigation and evidence gathered (for example in large and complex Commonwealth and drug matters) warranting a </w:t>
      </w:r>
      <w:r>
        <w:t xml:space="preserve">more </w:t>
      </w:r>
      <w:r w:rsidRPr="002A305D">
        <w:t xml:space="preserve">in-depth enquiry on matters of disclosure. </w:t>
      </w:r>
      <w:r>
        <w:t>This additional investment of time in the committal process can function to narrow</w:t>
      </w:r>
      <w:r w:rsidRPr="002A305D">
        <w:t xml:space="preserve"> </w:t>
      </w:r>
      <w:r>
        <w:t xml:space="preserve">the </w:t>
      </w:r>
      <w:r w:rsidRPr="002A305D">
        <w:t>issues and restrict</w:t>
      </w:r>
      <w:r>
        <w:t xml:space="preserve"> </w:t>
      </w:r>
      <w:r w:rsidRPr="002A305D">
        <w:t xml:space="preserve">the length of </w:t>
      </w:r>
      <w:r>
        <w:t xml:space="preserve">any subsequent </w:t>
      </w:r>
      <w:r w:rsidRPr="002A305D">
        <w:t>trial</w:t>
      </w:r>
      <w:r>
        <w:t>.</w:t>
      </w:r>
    </w:p>
    <w:p w14:paraId="69748C0C" w14:textId="4F51C858" w:rsidR="005A66C7" w:rsidRDefault="005A66C7" w:rsidP="005A66C7">
      <w:pPr>
        <w:pStyle w:val="VLADocumentText"/>
      </w:pPr>
      <w:r w:rsidRPr="002A305D">
        <w:t>Reports of lengthy and wide-ranging committals which are used by an accused to gain a tactical advantage by delaying finalisation ha</w:t>
      </w:r>
      <w:r>
        <w:t>s</w:t>
      </w:r>
      <w:r w:rsidRPr="002A305D">
        <w:t xml:space="preserve"> been raised as the basis for reform.</w:t>
      </w:r>
      <w:r w:rsidRPr="002A305D">
        <w:rPr>
          <w:rStyle w:val="FootnoteReference"/>
        </w:rPr>
        <w:footnoteReference w:id="74"/>
      </w:r>
      <w:r w:rsidRPr="002A305D">
        <w:t xml:space="preserve"> However, it is not clear from the data </w:t>
      </w:r>
      <w:r>
        <w:t>the extent to which this remains a problem in Victoria</w:t>
      </w:r>
      <w:r w:rsidRPr="002A305D">
        <w:t xml:space="preserve">. </w:t>
      </w:r>
      <w:r>
        <w:t>This issue should</w:t>
      </w:r>
      <w:r w:rsidRPr="002A305D">
        <w:t xml:space="preserve"> be managed by proper oversight of cross-examination by appropriately skilled magistrates. </w:t>
      </w:r>
    </w:p>
    <w:p w14:paraId="53846D7E" w14:textId="77777777" w:rsidR="001C3ADA" w:rsidRDefault="001C3ADA" w:rsidP="001C3ADA"/>
    <w:tbl>
      <w:tblPr>
        <w:tblStyle w:val="TableGrid"/>
        <w:tblW w:w="8363" w:type="dxa"/>
        <w:tblInd w:w="421" w:type="dxa"/>
        <w:tblLayout w:type="fixed"/>
        <w:tblLook w:val="06A0" w:firstRow="1" w:lastRow="0" w:firstColumn="1" w:lastColumn="0" w:noHBand="1" w:noVBand="1"/>
      </w:tblPr>
      <w:tblGrid>
        <w:gridCol w:w="8363"/>
      </w:tblGrid>
      <w:tr w:rsidR="6819B0F8" w14:paraId="62A1E62C" w14:textId="77777777" w:rsidTr="00F27015">
        <w:trPr>
          <w:trHeight w:val="7216"/>
        </w:trPr>
        <w:tc>
          <w:tcPr>
            <w:tcW w:w="8363" w:type="dxa"/>
          </w:tcPr>
          <w:p w14:paraId="0F741B07" w14:textId="20D47644" w:rsidR="00315A77" w:rsidRPr="003D4AF1" w:rsidRDefault="00315A77" w:rsidP="00B56975">
            <w:pPr>
              <w:pStyle w:val="VLAclientexampletitle"/>
              <w:keepNext w:val="0"/>
            </w:pPr>
            <w:r w:rsidRPr="003D4AF1">
              <w:lastRenderedPageBreak/>
              <w:t>Peter</w:t>
            </w:r>
            <w:r w:rsidR="0095236A" w:rsidRPr="003D4AF1">
              <w:t xml:space="preserve"> </w:t>
            </w:r>
            <w:r w:rsidR="00313142" w:rsidRPr="003D4AF1">
              <w:t>–</w:t>
            </w:r>
            <w:r w:rsidR="00F51420">
              <w:t xml:space="preserve"> E</w:t>
            </w:r>
            <w:r w:rsidR="00AF4CD6" w:rsidRPr="00B40571">
              <w:t>xamining</w:t>
            </w:r>
            <w:r w:rsidR="00313142" w:rsidRPr="00B40571">
              <w:t xml:space="preserve"> the prosecution case and achieving resolution on a</w:t>
            </w:r>
            <w:r w:rsidR="00F51420">
              <w:t>n</w:t>
            </w:r>
            <w:r w:rsidR="00313142" w:rsidRPr="00B40571">
              <w:t xml:space="preserve"> appropriate charge</w:t>
            </w:r>
          </w:p>
          <w:p w14:paraId="4B90B3F0" w14:textId="25C02F93" w:rsidR="005168D7" w:rsidRPr="00B40571" w:rsidRDefault="6F018D3D" w:rsidP="00B56975">
            <w:pPr>
              <w:pStyle w:val="VLAclientexample"/>
              <w:rPr>
                <w:rFonts w:eastAsia="Arial"/>
              </w:rPr>
            </w:pPr>
            <w:r w:rsidRPr="003D4AF1">
              <w:rPr>
                <w:rFonts w:eastAsia="Arial"/>
              </w:rPr>
              <w:t>Peter* was charged with intentionally causing serious injury in circumstances of gross violence.</w:t>
            </w:r>
            <w:r w:rsidR="00B875EF" w:rsidRPr="003D4AF1">
              <w:rPr>
                <w:rFonts w:eastAsia="Arial"/>
              </w:rPr>
              <w:t xml:space="preserve"> </w:t>
            </w:r>
            <w:r w:rsidR="00F06E46" w:rsidRPr="008B6E22">
              <w:rPr>
                <w:rFonts w:eastAsia="Arial"/>
              </w:rPr>
              <w:t>T</w:t>
            </w:r>
            <w:r w:rsidRPr="00B40571">
              <w:rPr>
                <w:rFonts w:eastAsia="Arial"/>
              </w:rPr>
              <w:t>he complainant and Peter had known each other for many years. There was a history of animosity owing to bullying by the complainant towards Peter, and this was known to the witnesses. The issues were the reliability of the complainant and witnesses</w:t>
            </w:r>
            <w:r w:rsidR="002B14BB" w:rsidRPr="00B40571">
              <w:rPr>
                <w:rFonts w:eastAsia="Arial"/>
              </w:rPr>
              <w:t>’</w:t>
            </w:r>
            <w:r w:rsidRPr="00B40571">
              <w:rPr>
                <w:rFonts w:eastAsia="Arial"/>
              </w:rPr>
              <w:t xml:space="preserve"> observations in relation to the incapacity of the complainant, and their recollection of the time in between the “first incident” when Peter was assaulted by the complainant, and the second incident which gave rise to the charges (to explore self-defence). </w:t>
            </w:r>
          </w:p>
          <w:p w14:paraId="659D6CBB" w14:textId="50674B4A" w:rsidR="6819B0F8" w:rsidRDefault="6F018D3D" w:rsidP="00B56975">
            <w:pPr>
              <w:pStyle w:val="VLAclientexample"/>
            </w:pPr>
            <w:r w:rsidRPr="00F51420">
              <w:rPr>
                <w:rFonts w:eastAsia="Arial"/>
              </w:rPr>
              <w:t xml:space="preserve">Peter </w:t>
            </w:r>
            <w:r w:rsidR="00710701">
              <w:rPr>
                <w:rFonts w:eastAsia="Arial"/>
              </w:rPr>
              <w:t xml:space="preserve">made </w:t>
            </w:r>
            <w:r w:rsidRPr="00F51420">
              <w:rPr>
                <w:rFonts w:eastAsia="Arial"/>
              </w:rPr>
              <w:t>an offer to plead guilty to intentionally causing serious injury prior to the committal mention</w:t>
            </w:r>
            <w:r w:rsidR="008F77DC">
              <w:rPr>
                <w:rFonts w:eastAsia="Arial"/>
              </w:rPr>
              <w:t>; this was</w:t>
            </w:r>
            <w:r w:rsidRPr="003D4AF1">
              <w:rPr>
                <w:rFonts w:eastAsia="Arial"/>
              </w:rPr>
              <w:t xml:space="preserve"> rejected. </w:t>
            </w:r>
            <w:r w:rsidR="6819B0F8" w:rsidRPr="003D4AF1">
              <w:rPr>
                <w:rFonts w:eastAsia="Arial"/>
              </w:rPr>
              <w:t>The matter proceeded to a committal hearing where three witnesses were called on the discrete issues of credibility and reliability.</w:t>
            </w:r>
            <w:r w:rsidR="003117CD" w:rsidRPr="008B6E22">
              <w:rPr>
                <w:rFonts w:eastAsia="Arial"/>
              </w:rPr>
              <w:t xml:space="preserve"> </w:t>
            </w:r>
            <w:r w:rsidR="6819B0F8" w:rsidRPr="00B40571">
              <w:rPr>
                <w:rFonts w:eastAsia="Arial"/>
              </w:rPr>
              <w:t xml:space="preserve">Through cross-examination the complainant’s history of animosity towards </w:t>
            </w:r>
            <w:r w:rsidR="25514DBC" w:rsidRPr="6F018D3D">
              <w:rPr>
                <w:rFonts w:eastAsia="Arial" w:cs="Arial"/>
                <w:szCs w:val="21"/>
              </w:rPr>
              <w:t>Peter</w:t>
            </w:r>
            <w:r w:rsidR="6819B0F8" w:rsidRPr="003D4AF1">
              <w:rPr>
                <w:rFonts w:eastAsia="Arial"/>
              </w:rPr>
              <w:t xml:space="preserve"> became evident. </w:t>
            </w:r>
            <w:r w:rsidR="6819B0F8" w:rsidRPr="00B40571">
              <w:rPr>
                <w:rFonts w:eastAsia="Arial"/>
              </w:rPr>
              <w:t>Following the committal hearing and prior to the initial directions hearing</w:t>
            </w:r>
            <w:r w:rsidR="00CB7C3F" w:rsidRPr="00B40571">
              <w:rPr>
                <w:rFonts w:eastAsia="Arial"/>
              </w:rPr>
              <w:t>,</w:t>
            </w:r>
            <w:r w:rsidR="6819B0F8" w:rsidRPr="00B40571">
              <w:rPr>
                <w:rFonts w:eastAsia="Arial"/>
              </w:rPr>
              <w:t xml:space="preserve"> the defence offer to </w:t>
            </w:r>
            <w:r w:rsidR="00E10115" w:rsidRPr="00B40571">
              <w:rPr>
                <w:rFonts w:eastAsia="Arial"/>
              </w:rPr>
              <w:t xml:space="preserve">plead to </w:t>
            </w:r>
            <w:r w:rsidR="6819B0F8" w:rsidRPr="00B40571">
              <w:rPr>
                <w:rFonts w:eastAsia="Arial"/>
              </w:rPr>
              <w:t>intentionally cause serious injury was made again, this time the offer was accepted.</w:t>
            </w:r>
          </w:p>
          <w:p w14:paraId="618E3071" w14:textId="0F6B99C3" w:rsidR="6819B0F8" w:rsidRDefault="6F018D3D" w:rsidP="00B56975">
            <w:pPr>
              <w:pStyle w:val="VLAclientexample"/>
            </w:pPr>
            <w:r w:rsidRPr="003D4AF1">
              <w:rPr>
                <w:rFonts w:eastAsia="Arial"/>
              </w:rPr>
              <w:t>The well</w:t>
            </w:r>
            <w:r w:rsidR="4FC5B815" w:rsidRPr="003D4AF1">
              <w:rPr>
                <w:rFonts w:eastAsia="Arial"/>
              </w:rPr>
              <w:t>-</w:t>
            </w:r>
            <w:r w:rsidRPr="003D4AF1">
              <w:rPr>
                <w:rFonts w:eastAsia="Arial"/>
              </w:rPr>
              <w:t>run committal hearing allowed both parties to see first</w:t>
            </w:r>
            <w:r w:rsidR="003B4942">
              <w:rPr>
                <w:rFonts w:eastAsia="Arial"/>
              </w:rPr>
              <w:t>-</w:t>
            </w:r>
            <w:r w:rsidRPr="003D4AF1">
              <w:rPr>
                <w:rFonts w:eastAsia="Arial"/>
              </w:rPr>
              <w:t xml:space="preserve">hand the issues relating to credit. This in turn led the </w:t>
            </w:r>
            <w:r w:rsidR="00BB05A5" w:rsidRPr="003D4AF1">
              <w:rPr>
                <w:rFonts w:eastAsia="Arial"/>
              </w:rPr>
              <w:t>p</w:t>
            </w:r>
            <w:r w:rsidRPr="003D4AF1">
              <w:rPr>
                <w:rFonts w:eastAsia="Arial"/>
              </w:rPr>
              <w:t>rosecution to make a fair and reasonable concessio</w:t>
            </w:r>
            <w:r w:rsidRPr="008B6E22">
              <w:rPr>
                <w:rFonts w:eastAsia="Arial"/>
              </w:rPr>
              <w:t xml:space="preserve">n which </w:t>
            </w:r>
            <w:r w:rsidR="75A814EF" w:rsidRPr="00B40571">
              <w:rPr>
                <w:rFonts w:eastAsia="Arial"/>
              </w:rPr>
              <w:t xml:space="preserve">in </w:t>
            </w:r>
            <w:r w:rsidR="21EE5AB6" w:rsidRPr="00B40571">
              <w:rPr>
                <w:rFonts w:eastAsia="Arial"/>
              </w:rPr>
              <w:t xml:space="preserve">turn </w:t>
            </w:r>
            <w:r w:rsidRPr="00B40571">
              <w:rPr>
                <w:rFonts w:eastAsia="Arial"/>
              </w:rPr>
              <w:t>paved the way for a resolution.</w:t>
            </w:r>
            <w:r w:rsidR="00B5654F" w:rsidRPr="00B40571">
              <w:rPr>
                <w:rFonts w:eastAsia="Arial"/>
              </w:rPr>
              <w:t xml:space="preserve"> </w:t>
            </w:r>
          </w:p>
          <w:p w14:paraId="0A9D7F1D" w14:textId="77777777" w:rsidR="009D182B" w:rsidRPr="009C56F5" w:rsidRDefault="009D182B" w:rsidP="00F27015"/>
          <w:p w14:paraId="64485BC6" w14:textId="4947E468" w:rsidR="00315A77" w:rsidRDefault="40F164A9" w:rsidP="00B56975">
            <w:pPr>
              <w:pStyle w:val="VLAclientexample"/>
            </w:pPr>
            <w:r w:rsidRPr="40F164A9">
              <w:t>*VLA client, not his rea</w:t>
            </w:r>
            <w:r w:rsidR="29E24C88" w:rsidRPr="40F164A9">
              <w:t xml:space="preserve">l name. </w:t>
            </w:r>
          </w:p>
        </w:tc>
      </w:tr>
    </w:tbl>
    <w:p w14:paraId="0D7AAE57" w14:textId="77777777" w:rsidR="003F7895" w:rsidRPr="00A64094" w:rsidRDefault="003F7895" w:rsidP="001C3ADA">
      <w:pPr>
        <w:rPr>
          <w:lang w:eastAsia="en-AU"/>
        </w:rPr>
      </w:pPr>
    </w:p>
    <w:p w14:paraId="42EF3F21" w14:textId="447A8D30" w:rsidR="003F7895" w:rsidRPr="00E44D59" w:rsidRDefault="003B573D" w:rsidP="003F7895">
      <w:pPr>
        <w:pStyle w:val="VLADocumentText"/>
      </w:pPr>
      <w:r>
        <w:t xml:space="preserve">The benefits of the committal process can also be considered in circumstances where they have been significantly altered or even abolished. </w:t>
      </w:r>
      <w:r w:rsidR="005E0DE9">
        <w:t>A</w:t>
      </w:r>
      <w:r w:rsidR="003F7895" w:rsidRPr="009A053A">
        <w:t>fter reviewing the reforms and results of removing committals in Australian states and territories, England</w:t>
      </w:r>
      <w:r w:rsidR="003F7895" w:rsidRPr="00E44D59">
        <w:t xml:space="preserve"> and </w:t>
      </w:r>
      <w:r w:rsidR="003F7895" w:rsidRPr="00FC60AF">
        <w:t>Scotland</w:t>
      </w:r>
      <w:r w:rsidR="003F7895" w:rsidRPr="00E44D59">
        <w:t xml:space="preserve">, Flynn concludes: </w:t>
      </w:r>
    </w:p>
    <w:p w14:paraId="6F55B079" w14:textId="188ED4EF" w:rsidR="003F7895" w:rsidRPr="006B278A" w:rsidRDefault="003F7895" w:rsidP="003F7895">
      <w:pPr>
        <w:pStyle w:val="VLAquotation"/>
        <w:jc w:val="both"/>
      </w:pPr>
      <w:r w:rsidRPr="00E44D59">
        <w:t>Accordingly, the reforms implemented across Australia and international jurisdictions do not appear to have had the anticipated positive impact on court delay and efficiency levels. Instead they have simply added delay, or shifted the problem to the superior jurisdiction.</w:t>
      </w:r>
      <w:r w:rsidRPr="002A07CC">
        <w:rPr>
          <w:rStyle w:val="FootnoteReference"/>
          <w:rFonts w:cs="Arial"/>
          <w:i/>
          <w:sz w:val="16"/>
          <w:szCs w:val="16"/>
        </w:rPr>
        <w:footnoteReference w:id="75"/>
      </w:r>
    </w:p>
    <w:p w14:paraId="456009D8" w14:textId="77777777" w:rsidR="003F7895" w:rsidRPr="00E44D59" w:rsidRDefault="003F7895" w:rsidP="003F7895">
      <w:pPr>
        <w:pStyle w:val="VLADocumentText"/>
        <w:rPr>
          <w:rFonts w:cs="Arial"/>
        </w:rPr>
      </w:pPr>
      <w:r w:rsidRPr="00E44D59">
        <w:rPr>
          <w:rFonts w:cs="Arial"/>
        </w:rPr>
        <w:t>More specifically, Flynn noted that:</w:t>
      </w:r>
    </w:p>
    <w:p w14:paraId="10666EED" w14:textId="2C875151" w:rsidR="003F7895" w:rsidRPr="00E44D59" w:rsidRDefault="003F7895" w:rsidP="00DB4763">
      <w:pPr>
        <w:pStyle w:val="ListParagraph"/>
        <w:numPr>
          <w:ilvl w:val="0"/>
          <w:numId w:val="6"/>
        </w:numPr>
        <w:jc w:val="both"/>
        <w:rPr>
          <w:rFonts w:cs="Arial"/>
        </w:rPr>
      </w:pPr>
      <w:r w:rsidRPr="00E44D59">
        <w:rPr>
          <w:rFonts w:cs="Arial"/>
        </w:rPr>
        <w:t>Following the Tasmanian changes to pre-trial procedure, prosecutors were not gaining earlier access to relevant files, that the delays which had existed in the lower court were “simply s</w:t>
      </w:r>
      <w:r w:rsidR="00324847">
        <w:rPr>
          <w:rFonts w:cs="Arial"/>
        </w:rPr>
        <w:t>h</w:t>
      </w:r>
      <w:r w:rsidRPr="00E44D59">
        <w:rPr>
          <w:rFonts w:cs="Arial"/>
        </w:rPr>
        <w:t>ifted to the later stage in the criminal justice process”.</w:t>
      </w:r>
      <w:r w:rsidRPr="00E44D59">
        <w:rPr>
          <w:rStyle w:val="FootnoteReference"/>
          <w:rFonts w:cs="Arial"/>
        </w:rPr>
        <w:footnoteReference w:id="76"/>
      </w:r>
    </w:p>
    <w:p w14:paraId="44BA2A34" w14:textId="77777777" w:rsidR="003F7895" w:rsidRPr="00E44D59" w:rsidRDefault="003F7895" w:rsidP="00DB4763">
      <w:pPr>
        <w:pStyle w:val="ListParagraph"/>
        <w:numPr>
          <w:ilvl w:val="0"/>
          <w:numId w:val="6"/>
        </w:numPr>
        <w:jc w:val="both"/>
        <w:rPr>
          <w:rFonts w:cs="Arial"/>
        </w:rPr>
      </w:pPr>
      <w:r w:rsidRPr="00E44D59">
        <w:rPr>
          <w:rFonts w:cs="Arial"/>
        </w:rPr>
        <w:t>In England there was an increase in the average waiting time for a trial.</w:t>
      </w:r>
      <w:r w:rsidRPr="00E44D59">
        <w:rPr>
          <w:rStyle w:val="FootnoteReference"/>
          <w:rFonts w:cs="Arial"/>
        </w:rPr>
        <w:footnoteReference w:id="77"/>
      </w:r>
    </w:p>
    <w:p w14:paraId="34F1D7E5" w14:textId="1AA3FF72" w:rsidR="003F7895" w:rsidRDefault="003F7895" w:rsidP="00DB4763">
      <w:pPr>
        <w:pStyle w:val="ListParagraph"/>
        <w:numPr>
          <w:ilvl w:val="0"/>
          <w:numId w:val="6"/>
        </w:numPr>
        <w:jc w:val="both"/>
        <w:rPr>
          <w:rFonts w:cs="Arial"/>
        </w:rPr>
      </w:pPr>
      <w:r w:rsidRPr="00E44D59">
        <w:rPr>
          <w:rFonts w:cs="Arial"/>
        </w:rPr>
        <w:t>In Scotland, “committing an accused directly to the superior jurisdiction has not positively impacted on court efficiency, adjournment or delay levels”.</w:t>
      </w:r>
      <w:r w:rsidRPr="00E44D59">
        <w:rPr>
          <w:rStyle w:val="FootnoteReference"/>
          <w:rFonts w:cs="Arial"/>
        </w:rPr>
        <w:footnoteReference w:id="78"/>
      </w:r>
    </w:p>
    <w:p w14:paraId="3CF43F36" w14:textId="574F3894" w:rsidR="003F7895" w:rsidRDefault="00F56779" w:rsidP="006314F2">
      <w:pPr>
        <w:pStyle w:val="VLADocumentText"/>
        <w:rPr>
          <w:lang w:val="en-US" w:eastAsia="en-AU"/>
        </w:rPr>
      </w:pPr>
      <w:r>
        <w:rPr>
          <w:lang w:val="en-US" w:eastAsia="en-AU"/>
        </w:rPr>
        <w:lastRenderedPageBreak/>
        <w:t>Practitioners</w:t>
      </w:r>
      <w:r w:rsidR="003F7895" w:rsidRPr="008C4202">
        <w:rPr>
          <w:lang w:val="en-US" w:eastAsia="en-AU"/>
        </w:rPr>
        <w:t xml:space="preserve"> from Legal</w:t>
      </w:r>
      <w:r w:rsidR="003F7895">
        <w:rPr>
          <w:lang w:val="en-US" w:eastAsia="en-AU"/>
        </w:rPr>
        <w:t xml:space="preserve"> </w:t>
      </w:r>
      <w:r w:rsidR="003F7895" w:rsidRPr="008C4202">
        <w:rPr>
          <w:lang w:val="en-US" w:eastAsia="en-AU"/>
        </w:rPr>
        <w:t xml:space="preserve">Aid Queensland </w:t>
      </w:r>
      <w:r w:rsidR="003F7895">
        <w:rPr>
          <w:lang w:val="en-US" w:eastAsia="en-AU"/>
        </w:rPr>
        <w:t>indicate that j</w:t>
      </w:r>
      <w:r w:rsidR="003F7895" w:rsidRPr="008C4202">
        <w:rPr>
          <w:lang w:val="en-US" w:eastAsia="en-AU"/>
        </w:rPr>
        <w:t xml:space="preserve">udges from the Supreme and District Courts have found that removing committals has led to increased problems with a lack of prosecution disclosure and an increased use of </w:t>
      </w:r>
      <w:r w:rsidR="003F7895" w:rsidRPr="003D4AF1">
        <w:rPr>
          <w:i/>
          <w:lang w:val="en-US"/>
        </w:rPr>
        <w:t>Basha</w:t>
      </w:r>
      <w:r w:rsidR="003F7895" w:rsidRPr="008C4202">
        <w:rPr>
          <w:lang w:val="en-US" w:eastAsia="en-AU"/>
        </w:rPr>
        <w:t xml:space="preserve"> hearings</w:t>
      </w:r>
      <w:r w:rsidR="003F7895">
        <w:rPr>
          <w:lang w:val="en-US" w:eastAsia="en-AU"/>
        </w:rPr>
        <w:t xml:space="preserve">. </w:t>
      </w:r>
    </w:p>
    <w:p w14:paraId="323B22E9" w14:textId="70148EAA" w:rsidR="00A966E2" w:rsidRDefault="00A966E2" w:rsidP="00A966E2">
      <w:pPr>
        <w:pStyle w:val="Heading3"/>
        <w:rPr>
          <w:lang w:val="en-US"/>
        </w:rPr>
      </w:pPr>
      <w:bookmarkStart w:id="107" w:name="_Toc17155114"/>
      <w:r w:rsidRPr="00A966E2">
        <w:rPr>
          <w:lang w:val="en-US"/>
        </w:rPr>
        <w:t>Preparation for trial</w:t>
      </w:r>
      <w:bookmarkEnd w:id="107"/>
    </w:p>
    <w:p w14:paraId="4CF435E1" w14:textId="0CD97919" w:rsidR="00165F8D" w:rsidRDefault="00F407F4" w:rsidP="00165F8D">
      <w:pPr>
        <w:pStyle w:val="VLADocumentText"/>
        <w:rPr>
          <w:lang w:eastAsia="en-AU"/>
        </w:rPr>
      </w:pPr>
      <w:r>
        <w:rPr>
          <w:lang w:eastAsia="en-AU"/>
        </w:rPr>
        <w:t xml:space="preserve">The committal system provides the opportunity between committing an accused for trial, and the trial itself, for both parties to follow up further information required and properly prepare for the trial. </w:t>
      </w:r>
      <w:r w:rsidR="00165F8D" w:rsidRPr="00813C20">
        <w:rPr>
          <w:lang w:eastAsia="en-AU"/>
        </w:rPr>
        <w:t xml:space="preserve">If pre-trial examination of witnesses </w:t>
      </w:r>
      <w:r w:rsidR="00165F8D">
        <w:rPr>
          <w:lang w:eastAsia="en-AU"/>
        </w:rPr>
        <w:t>were</w:t>
      </w:r>
      <w:r w:rsidR="00165F8D" w:rsidRPr="00813C20">
        <w:rPr>
          <w:lang w:eastAsia="en-AU"/>
        </w:rPr>
        <w:t xml:space="preserve"> conducted shortly prior to trial</w:t>
      </w:r>
      <w:r w:rsidR="00165F8D">
        <w:rPr>
          <w:lang w:eastAsia="en-AU"/>
        </w:rPr>
        <w:t>,</w:t>
      </w:r>
      <w:r w:rsidR="00165F8D" w:rsidRPr="00813C20">
        <w:rPr>
          <w:lang w:eastAsia="en-AU"/>
        </w:rPr>
        <w:t xml:space="preserve"> it</w:t>
      </w:r>
      <w:r w:rsidR="00165F8D">
        <w:rPr>
          <w:lang w:eastAsia="en-AU"/>
        </w:rPr>
        <w:t xml:space="preserve"> will significantly impact o</w:t>
      </w:r>
      <w:r w:rsidR="007162FE">
        <w:rPr>
          <w:lang w:eastAsia="en-AU"/>
        </w:rPr>
        <w:t>n</w:t>
      </w:r>
      <w:r w:rsidR="00165F8D">
        <w:rPr>
          <w:lang w:eastAsia="en-AU"/>
        </w:rPr>
        <w:t xml:space="preserve"> the preparedness of parties for the trial, as there would not be sufficient time to properly examine the evidence disclosed in pre-trial proceedings and prepare the prosecution or defence points in response. </w:t>
      </w:r>
    </w:p>
    <w:p w14:paraId="4FC3E469" w14:textId="77777777" w:rsidR="00165F8D" w:rsidRDefault="00165F8D" w:rsidP="00165F8D">
      <w:pPr>
        <w:pStyle w:val="VLADocumentText"/>
        <w:rPr>
          <w:lang w:eastAsia="en-AU"/>
        </w:rPr>
      </w:pPr>
      <w:r>
        <w:rPr>
          <w:lang w:eastAsia="en-AU"/>
        </w:rPr>
        <w:t xml:space="preserve">It may also </w:t>
      </w:r>
      <w:r w:rsidRPr="00813C20">
        <w:rPr>
          <w:lang w:eastAsia="en-AU"/>
        </w:rPr>
        <w:t xml:space="preserve">deprive the accused of the opportunity to </w:t>
      </w:r>
      <w:r>
        <w:rPr>
          <w:lang w:eastAsia="en-AU"/>
        </w:rPr>
        <w:t>obtain additional evidence and could lead to prejudice where further disclosure occurs immediately before or during a trial.</w:t>
      </w:r>
      <w:r w:rsidRPr="00371E7E">
        <w:rPr>
          <w:lang w:eastAsia="en-AU"/>
        </w:rPr>
        <w:t xml:space="preserve"> </w:t>
      </w:r>
      <w:r>
        <w:rPr>
          <w:lang w:eastAsia="en-AU"/>
        </w:rPr>
        <w:t>T</w:t>
      </w:r>
      <w:r w:rsidRPr="00813C20">
        <w:rPr>
          <w:lang w:eastAsia="en-AU"/>
        </w:rPr>
        <w:t>hrough cross-examination of police and witnesses</w:t>
      </w:r>
      <w:r>
        <w:rPr>
          <w:lang w:eastAsia="en-AU"/>
        </w:rPr>
        <w:t xml:space="preserve"> at committal,</w:t>
      </w:r>
      <w:r w:rsidRPr="00813C20">
        <w:rPr>
          <w:lang w:eastAsia="en-AU"/>
        </w:rPr>
        <w:t xml:space="preserve"> </w:t>
      </w:r>
      <w:r>
        <w:rPr>
          <w:lang w:eastAsia="en-AU"/>
        </w:rPr>
        <w:t xml:space="preserve">both </w:t>
      </w:r>
      <w:r w:rsidRPr="00813C20">
        <w:rPr>
          <w:lang w:eastAsia="en-AU"/>
        </w:rPr>
        <w:t>parties discover the need to obtain further statements from additional potential witnesses, who had not been canvassed for statements in the preparation of the hand-up brief</w:t>
      </w:r>
      <w:r>
        <w:rPr>
          <w:lang w:eastAsia="en-AU"/>
        </w:rPr>
        <w:t>, or where further disclosure is uncovered</w:t>
      </w:r>
      <w:r w:rsidRPr="00813C20">
        <w:rPr>
          <w:lang w:eastAsia="en-AU"/>
        </w:rPr>
        <w:t xml:space="preserve">. Other times it becomes evident that expert </w:t>
      </w:r>
      <w:r>
        <w:rPr>
          <w:lang w:eastAsia="en-AU"/>
        </w:rPr>
        <w:t xml:space="preserve">evidence </w:t>
      </w:r>
      <w:r w:rsidRPr="00813C20">
        <w:rPr>
          <w:lang w:eastAsia="en-AU"/>
        </w:rPr>
        <w:t>may be required</w:t>
      </w:r>
      <w:r>
        <w:rPr>
          <w:lang w:eastAsia="en-AU"/>
        </w:rPr>
        <w:t>. In practice, engaging an expert is an involved, time-consuming process given the limitations on expert witness availability and the requirement to seek additional funding for expert reports.</w:t>
      </w:r>
    </w:p>
    <w:p w14:paraId="4AE94C80" w14:textId="54942D7C" w:rsidR="003F7895" w:rsidRPr="002C258C" w:rsidRDefault="003F7895" w:rsidP="00E2095E">
      <w:pPr>
        <w:pStyle w:val="Heading1"/>
      </w:pPr>
      <w:bookmarkStart w:id="108" w:name="_Toc17050698"/>
      <w:bookmarkStart w:id="109" w:name="_Toc17155115"/>
      <w:r w:rsidRPr="00E44D59">
        <w:t xml:space="preserve">Question </w:t>
      </w:r>
      <w:r w:rsidRPr="00520475">
        <w:t xml:space="preserve">17. </w:t>
      </w:r>
      <w:r w:rsidR="0089711B">
        <w:t xml:space="preserve">Are there </w:t>
      </w:r>
      <w:r w:rsidR="00B13FE9">
        <w:t>o</w:t>
      </w:r>
      <w:r w:rsidRPr="00520475">
        <w:t>ther pre-trial procedures that could equally or more effectively ensure</w:t>
      </w:r>
      <w:r w:rsidRPr="00E44D59">
        <w:t>:</w:t>
      </w:r>
      <w:r>
        <w:t xml:space="preserve"> </w:t>
      </w:r>
      <w:r w:rsidRPr="002C258C">
        <w:t>a)</w:t>
      </w:r>
      <w:r>
        <w:t xml:space="preserve"> </w:t>
      </w:r>
      <w:r w:rsidR="0089711B">
        <w:t>a</w:t>
      </w:r>
      <w:r w:rsidRPr="002C258C">
        <w:t>ppropriate early resolution of cases</w:t>
      </w:r>
      <w:r>
        <w:t xml:space="preserve">; </w:t>
      </w:r>
      <w:r w:rsidRPr="002C258C">
        <w:t>b)</w:t>
      </w:r>
      <w:r>
        <w:t xml:space="preserve"> </w:t>
      </w:r>
      <w:r w:rsidR="0089711B">
        <w:t>e</w:t>
      </w:r>
      <w:r w:rsidRPr="002C258C">
        <w:t>fficient use of court time</w:t>
      </w:r>
      <w:r>
        <w:t xml:space="preserve">; </w:t>
      </w:r>
      <w:r w:rsidRPr="002C258C">
        <w:t>c)</w:t>
      </w:r>
      <w:r>
        <w:t xml:space="preserve"> </w:t>
      </w:r>
      <w:r w:rsidR="0089711B">
        <w:t>p</w:t>
      </w:r>
      <w:r w:rsidRPr="002C258C">
        <w:t>arties are adequately prepared for trial?</w:t>
      </w:r>
      <w:bookmarkEnd w:id="108"/>
      <w:bookmarkEnd w:id="109"/>
    </w:p>
    <w:p w14:paraId="7328A995" w14:textId="43CCB488" w:rsidR="003F7895" w:rsidRDefault="00D20AA8" w:rsidP="003F7895">
      <w:pPr>
        <w:spacing w:before="60" w:after="60" w:line="280" w:lineRule="atLeast"/>
        <w:jc w:val="both"/>
        <w:rPr>
          <w:rFonts w:cstheme="minorHAnsi"/>
          <w:color w:val="000000"/>
          <w:lang w:eastAsia="en-AU"/>
        </w:rPr>
      </w:pPr>
      <w:r w:rsidRPr="001F09BB">
        <w:t>The value of a well-run committal is a well prepared, confined and economically</w:t>
      </w:r>
      <w:r w:rsidR="007042D0">
        <w:t>-</w:t>
      </w:r>
      <w:r w:rsidRPr="001F09BB">
        <w:t xml:space="preserve">run trial. </w:t>
      </w:r>
      <w:r w:rsidR="003F7895">
        <w:rPr>
          <w:rFonts w:cstheme="minorHAnsi"/>
          <w:color w:val="000000"/>
          <w:lang w:eastAsia="en-AU"/>
        </w:rPr>
        <w:t xml:space="preserve">Our </w:t>
      </w:r>
      <w:r w:rsidR="00022395">
        <w:rPr>
          <w:rFonts w:cstheme="minorHAnsi"/>
          <w:color w:val="000000"/>
          <w:lang w:eastAsia="en-AU"/>
        </w:rPr>
        <w:t>experience</w:t>
      </w:r>
      <w:r w:rsidR="003F7895">
        <w:rPr>
          <w:rFonts w:cstheme="minorHAnsi"/>
          <w:color w:val="000000"/>
          <w:lang w:eastAsia="en-AU"/>
        </w:rPr>
        <w:t xml:space="preserve"> is that the key to facilitating early disclosure and resolution</w:t>
      </w:r>
      <w:r w:rsidR="00165F8D" w:rsidRPr="00165F8D">
        <w:rPr>
          <w:rFonts w:cstheme="minorHAnsi"/>
          <w:color w:val="000000"/>
          <w:lang w:eastAsia="en-AU"/>
        </w:rPr>
        <w:t xml:space="preserve"> </w:t>
      </w:r>
      <w:r w:rsidR="00165F8D">
        <w:rPr>
          <w:rFonts w:cstheme="minorHAnsi"/>
          <w:color w:val="000000"/>
          <w:lang w:eastAsia="en-AU"/>
        </w:rPr>
        <w:t>is early engagement and communication and the involvement of sufficiently senior prosecutors and defence practitioners</w:t>
      </w:r>
      <w:r w:rsidR="003F7895">
        <w:rPr>
          <w:rFonts w:cstheme="minorHAnsi"/>
          <w:color w:val="000000"/>
          <w:lang w:eastAsia="en-AU"/>
        </w:rPr>
        <w:t xml:space="preserve">. Magistrates’ Court committals are an efficient use of court time, </w:t>
      </w:r>
      <w:r w:rsidR="003F7895" w:rsidRPr="002047D8">
        <w:rPr>
          <w:rFonts w:cstheme="minorHAnsi"/>
          <w:color w:val="000000"/>
          <w:lang w:eastAsia="en-AU"/>
        </w:rPr>
        <w:t>lead</w:t>
      </w:r>
      <w:r w:rsidR="003F7895">
        <w:rPr>
          <w:rFonts w:cstheme="minorHAnsi"/>
          <w:color w:val="000000"/>
          <w:lang w:eastAsia="en-AU"/>
        </w:rPr>
        <w:t>ing</w:t>
      </w:r>
      <w:r w:rsidR="003F7895" w:rsidRPr="002047D8">
        <w:rPr>
          <w:rFonts w:cstheme="minorHAnsi"/>
          <w:color w:val="000000"/>
          <w:lang w:eastAsia="en-AU"/>
        </w:rPr>
        <w:t xml:space="preserve"> to either the early resolution of the case, or a refinement of the issues for tri</w:t>
      </w:r>
      <w:r w:rsidR="003F7895">
        <w:rPr>
          <w:rFonts w:cstheme="minorHAnsi"/>
          <w:color w:val="000000"/>
          <w:lang w:eastAsia="en-AU"/>
        </w:rPr>
        <w:t>al and the trials consequent length</w:t>
      </w:r>
      <w:r w:rsidR="003F7895" w:rsidRPr="002047D8">
        <w:rPr>
          <w:rFonts w:cstheme="minorHAnsi"/>
          <w:color w:val="000000"/>
          <w:lang w:eastAsia="en-AU"/>
        </w:rPr>
        <w:t xml:space="preserve">. </w:t>
      </w:r>
    </w:p>
    <w:p w14:paraId="56B56550" w14:textId="04519639" w:rsidR="00E670A6" w:rsidRPr="00A4012A" w:rsidRDefault="00E670A6" w:rsidP="00E670A6">
      <w:pPr>
        <w:spacing w:before="60" w:after="60" w:line="280" w:lineRule="atLeast"/>
        <w:jc w:val="both"/>
        <w:rPr>
          <w:lang w:eastAsia="en-AU"/>
        </w:rPr>
      </w:pPr>
      <w:r w:rsidRPr="00FB7910">
        <w:rPr>
          <w:lang w:eastAsia="en-AU"/>
        </w:rPr>
        <w:t>The following case demonstrates how a well-run committal can</w:t>
      </w:r>
      <w:r>
        <w:rPr>
          <w:lang w:eastAsia="en-AU"/>
        </w:rPr>
        <w:t xml:space="preserve"> narrow the issues at trial, saving higher court time and space and enabling </w:t>
      </w:r>
      <w:r w:rsidRPr="00FB7910">
        <w:rPr>
          <w:lang w:eastAsia="en-AU"/>
        </w:rPr>
        <w:t xml:space="preserve">parties </w:t>
      </w:r>
      <w:r>
        <w:rPr>
          <w:lang w:eastAsia="en-AU"/>
        </w:rPr>
        <w:t xml:space="preserve">to prepare </w:t>
      </w:r>
      <w:r w:rsidRPr="00FB7910">
        <w:rPr>
          <w:lang w:eastAsia="en-AU"/>
        </w:rPr>
        <w:t xml:space="preserve">for trial </w:t>
      </w:r>
      <w:r>
        <w:rPr>
          <w:lang w:eastAsia="en-AU"/>
        </w:rPr>
        <w:t xml:space="preserve">on </w:t>
      </w:r>
      <w:r w:rsidR="00631C82">
        <w:rPr>
          <w:lang w:eastAsia="en-AU"/>
        </w:rPr>
        <w:t xml:space="preserve">a </w:t>
      </w:r>
      <w:r>
        <w:rPr>
          <w:lang w:eastAsia="en-AU"/>
        </w:rPr>
        <w:t>narrow</w:t>
      </w:r>
      <w:r w:rsidR="00631C82">
        <w:rPr>
          <w:lang w:eastAsia="en-AU"/>
        </w:rPr>
        <w:t>er range of</w:t>
      </w:r>
      <w:r>
        <w:rPr>
          <w:lang w:eastAsia="en-AU"/>
        </w:rPr>
        <w:t xml:space="preserve"> issues.</w:t>
      </w:r>
    </w:p>
    <w:p w14:paraId="07FC9F95" w14:textId="77777777" w:rsidR="00E670A6" w:rsidRPr="00A4012A" w:rsidRDefault="00E670A6" w:rsidP="00E670A6">
      <w:pPr>
        <w:spacing w:before="60" w:after="60" w:line="280" w:lineRule="atLeast"/>
        <w:jc w:val="both"/>
        <w:rPr>
          <w:lang w:eastAsia="en-AU"/>
        </w:rPr>
      </w:pPr>
    </w:p>
    <w:tbl>
      <w:tblPr>
        <w:tblStyle w:val="TableGrid"/>
        <w:tblW w:w="8505" w:type="dxa"/>
        <w:tblInd w:w="421" w:type="dxa"/>
        <w:tblLayout w:type="fixed"/>
        <w:tblLook w:val="06A0" w:firstRow="1" w:lastRow="0" w:firstColumn="1" w:lastColumn="0" w:noHBand="1" w:noVBand="1"/>
      </w:tblPr>
      <w:tblGrid>
        <w:gridCol w:w="8505"/>
      </w:tblGrid>
      <w:tr w:rsidR="00E670A6" w14:paraId="31E05B30" w14:textId="77777777" w:rsidTr="00F27015">
        <w:trPr>
          <w:trHeight w:val="3513"/>
        </w:trPr>
        <w:tc>
          <w:tcPr>
            <w:tcW w:w="8505" w:type="dxa"/>
          </w:tcPr>
          <w:p w14:paraId="67F9B9A2" w14:textId="0DFDE042" w:rsidR="00F235A9" w:rsidRDefault="00E670A6" w:rsidP="00F235A9">
            <w:pPr>
              <w:pStyle w:val="VLAclientexampletitle"/>
              <w:rPr>
                <w:bCs/>
              </w:rPr>
            </w:pPr>
            <w:r w:rsidRPr="003D4AF1">
              <w:t xml:space="preserve">Thomas </w:t>
            </w:r>
            <w:r w:rsidR="002C6C8A" w:rsidRPr="003D4AF1">
              <w:t>– Role of committals in narrowing the issues in dispute for the subsequent trial</w:t>
            </w:r>
          </w:p>
          <w:p w14:paraId="0182D1BA" w14:textId="5ACD6825" w:rsidR="00E670A6" w:rsidRPr="00DC5682" w:rsidRDefault="00E670A6" w:rsidP="00F235A9">
            <w:pPr>
              <w:pStyle w:val="VLAclientexample"/>
            </w:pPr>
            <w:r w:rsidRPr="008CA903">
              <w:t>Thomas</w:t>
            </w:r>
            <w:r w:rsidRPr="7472B8E6">
              <w:t>*</w:t>
            </w:r>
            <w:r w:rsidRPr="008CA903">
              <w:t xml:space="preserve"> was charged with murder of a young person. Prior to committal one of the issues was whether the death could have been accidental </w:t>
            </w:r>
            <w:r>
              <w:t>and not caused by</w:t>
            </w:r>
            <w:r w:rsidRPr="008CA903">
              <w:t xml:space="preserve"> </w:t>
            </w:r>
            <w:r w:rsidR="00B22A7D">
              <w:t>a person</w:t>
            </w:r>
            <w:r w:rsidRPr="008CA903">
              <w:t>. At committal</w:t>
            </w:r>
            <w:r>
              <w:t>,</w:t>
            </w:r>
            <w:r w:rsidRPr="008CA903">
              <w:t xml:space="preserve"> </w:t>
            </w:r>
            <w:r>
              <w:t>c</w:t>
            </w:r>
            <w:r w:rsidRPr="008CA903">
              <w:t xml:space="preserve">ounsel cross-examined the </w:t>
            </w:r>
            <w:r w:rsidRPr="00DC5682">
              <w:t xml:space="preserve">pathologist for half a day, this transcript of evidence was taken to the defence expert who agreed with prosecution expert’s views. It was agreed that the cause of death could not have been accidental. Therefore, at trial there was no need to have an extended consideration of the cause of death. </w:t>
            </w:r>
            <w:r w:rsidRPr="00DC5682">
              <w:br/>
            </w:r>
          </w:p>
          <w:p w14:paraId="12B481B3" w14:textId="77777777" w:rsidR="00E670A6" w:rsidRPr="00A4012A" w:rsidRDefault="00E670A6" w:rsidP="00DC5682">
            <w:pPr>
              <w:pStyle w:val="VLAclientexample"/>
            </w:pPr>
            <w:r w:rsidRPr="00DC5682">
              <w:t>*Client of a panel firm, not his real name.</w:t>
            </w:r>
          </w:p>
        </w:tc>
      </w:tr>
    </w:tbl>
    <w:p w14:paraId="75D58B88" w14:textId="77777777" w:rsidR="00E670A6" w:rsidRDefault="00E670A6" w:rsidP="003F7895">
      <w:pPr>
        <w:spacing w:before="60" w:after="60" w:line="280" w:lineRule="atLeast"/>
        <w:jc w:val="both"/>
        <w:rPr>
          <w:rFonts w:cstheme="minorHAnsi"/>
          <w:color w:val="000000"/>
          <w:lang w:eastAsia="en-AU"/>
        </w:rPr>
      </w:pPr>
    </w:p>
    <w:p w14:paraId="79FEA639" w14:textId="08E00832" w:rsidR="003F7895" w:rsidRPr="00F235A9" w:rsidRDefault="003F7895" w:rsidP="00F235A9">
      <w:pPr>
        <w:pStyle w:val="VLADocumentText"/>
        <w:rPr>
          <w:color w:val="000000"/>
        </w:rPr>
      </w:pPr>
      <w:r w:rsidRPr="00F235A9">
        <w:rPr>
          <w:color w:val="000000"/>
        </w:rPr>
        <w:lastRenderedPageBreak/>
        <w:t>The committal happens within a short as possible time from the filing of the brief. In specific cases (child witness</w:t>
      </w:r>
      <w:r w:rsidR="002702C6">
        <w:rPr>
          <w:color w:val="000000"/>
        </w:rPr>
        <w:t xml:space="preserve">, </w:t>
      </w:r>
      <w:r w:rsidRPr="00F235A9">
        <w:rPr>
          <w:color w:val="000000"/>
        </w:rPr>
        <w:t>sex</w:t>
      </w:r>
      <w:r w:rsidR="002702C6">
        <w:rPr>
          <w:color w:val="000000"/>
        </w:rPr>
        <w:t xml:space="preserve"> offence matters and </w:t>
      </w:r>
      <w:r w:rsidRPr="00F235A9">
        <w:rPr>
          <w:color w:val="000000"/>
        </w:rPr>
        <w:t xml:space="preserve">vulnerable accused) our experience is the Magistrates’ Court </w:t>
      </w:r>
      <w:r w:rsidR="50AB9234" w:rsidRPr="00F235A9">
        <w:rPr>
          <w:color w:val="000000"/>
        </w:rPr>
        <w:t>will</w:t>
      </w:r>
      <w:r w:rsidRPr="00F235A9">
        <w:rPr>
          <w:color w:val="000000"/>
        </w:rPr>
        <w:t xml:space="preserve"> prioritise</w:t>
      </w:r>
      <w:r w:rsidR="002702C6">
        <w:rPr>
          <w:color w:val="000000"/>
        </w:rPr>
        <w:t xml:space="preserve"> (</w:t>
      </w:r>
      <w:r w:rsidRPr="00F235A9">
        <w:rPr>
          <w:color w:val="000000"/>
        </w:rPr>
        <w:t>fast track</w:t>
      </w:r>
      <w:r w:rsidR="002702C6">
        <w:rPr>
          <w:color w:val="000000"/>
        </w:rPr>
        <w:t>)</w:t>
      </w:r>
      <w:r w:rsidRPr="00F235A9">
        <w:rPr>
          <w:color w:val="000000"/>
        </w:rPr>
        <w:t xml:space="preserve"> committals where </w:t>
      </w:r>
      <w:r w:rsidR="50AB9234" w:rsidRPr="00F235A9">
        <w:rPr>
          <w:color w:val="000000"/>
        </w:rPr>
        <w:t>requested</w:t>
      </w:r>
      <w:r w:rsidRPr="00F235A9">
        <w:rPr>
          <w:color w:val="000000"/>
        </w:rPr>
        <w:t xml:space="preserve">. It is essentially at the </w:t>
      </w:r>
      <w:r w:rsidRPr="00F235A9">
        <w:rPr>
          <w:rFonts w:ascii="Calibri" w:hAnsi="Calibri"/>
          <w:color w:val="000000"/>
        </w:rPr>
        <w:t>earliest</w:t>
      </w:r>
      <w:r w:rsidRPr="00F235A9">
        <w:rPr>
          <w:color w:val="000000"/>
        </w:rPr>
        <w:t xml:space="preserve"> possible stage of proceedings.</w:t>
      </w:r>
    </w:p>
    <w:p w14:paraId="393BC488" w14:textId="6E917FCA" w:rsidR="003F7895" w:rsidRPr="00F235A9" w:rsidRDefault="00827941" w:rsidP="00F235A9">
      <w:pPr>
        <w:pStyle w:val="VLADocumentText"/>
        <w:rPr>
          <w:color w:val="000000"/>
        </w:rPr>
      </w:pPr>
      <w:r w:rsidRPr="00F235A9">
        <w:rPr>
          <w:color w:val="000000"/>
        </w:rPr>
        <w:t xml:space="preserve">In this submission we have made a number of recommendations </w:t>
      </w:r>
      <w:r w:rsidR="003F7895" w:rsidRPr="00F235A9">
        <w:rPr>
          <w:color w:val="000000"/>
        </w:rPr>
        <w:t>for improvements to current committal processes which could significantly improve appropriate early resolution of cases, preparedness for trials and efficient use of court time</w:t>
      </w:r>
      <w:r w:rsidRPr="00F235A9">
        <w:rPr>
          <w:color w:val="000000"/>
        </w:rPr>
        <w:t>. These include</w:t>
      </w:r>
      <w:r>
        <w:rPr>
          <w:rFonts w:cstheme="minorHAnsi"/>
          <w:color w:val="000000"/>
          <w:lang w:eastAsia="en-AU"/>
        </w:rPr>
        <w:t>:</w:t>
      </w:r>
    </w:p>
    <w:p w14:paraId="44EF5791" w14:textId="135BA0BD" w:rsidR="003F7895" w:rsidRPr="00D5502B" w:rsidRDefault="0032546F" w:rsidP="00F235A9">
      <w:pPr>
        <w:pStyle w:val="ListParagraph"/>
        <w:numPr>
          <w:ilvl w:val="0"/>
          <w:numId w:val="9"/>
        </w:numPr>
        <w:spacing w:after="60" w:line="280" w:lineRule="atLeast"/>
        <w:ind w:left="360"/>
        <w:textAlignment w:val="center"/>
        <w:rPr>
          <w:rFonts w:cstheme="minorBidi"/>
          <w:color w:val="000000"/>
          <w:lang w:eastAsia="en-AU"/>
        </w:rPr>
      </w:pPr>
      <w:r>
        <w:rPr>
          <w:rFonts w:cstheme="minorBidi"/>
          <w:color w:val="000000"/>
          <w:lang w:eastAsia="en-AU"/>
        </w:rPr>
        <w:t>T</w:t>
      </w:r>
      <w:r w:rsidR="003F7895" w:rsidRPr="00990E71">
        <w:rPr>
          <w:rFonts w:cstheme="minorBidi"/>
          <w:color w:val="000000"/>
          <w:lang w:eastAsia="en-AU"/>
        </w:rPr>
        <w:t xml:space="preserve">he OPP </w:t>
      </w:r>
      <w:r>
        <w:rPr>
          <w:rFonts w:cstheme="minorBidi"/>
          <w:color w:val="000000"/>
          <w:lang w:eastAsia="en-AU"/>
        </w:rPr>
        <w:t xml:space="preserve">be funded to </w:t>
      </w:r>
      <w:r w:rsidR="003F7895" w:rsidRPr="00990E71">
        <w:rPr>
          <w:rFonts w:cstheme="minorBidi"/>
          <w:color w:val="000000"/>
          <w:lang w:eastAsia="en-AU"/>
        </w:rPr>
        <w:t>prov</w:t>
      </w:r>
      <w:r w:rsidR="003F7895" w:rsidRPr="00C22DB8">
        <w:rPr>
          <w:rFonts w:cstheme="minorBidi"/>
          <w:color w:val="000000"/>
          <w:lang w:eastAsia="en-AU"/>
        </w:rPr>
        <w:t xml:space="preserve">ide </w:t>
      </w:r>
      <w:r>
        <w:rPr>
          <w:rFonts w:cstheme="minorBidi"/>
          <w:color w:val="000000"/>
          <w:lang w:eastAsia="en-AU"/>
        </w:rPr>
        <w:t xml:space="preserve">senior </w:t>
      </w:r>
      <w:r w:rsidR="003F7895" w:rsidRPr="00C22DB8">
        <w:rPr>
          <w:rFonts w:cstheme="minorBidi"/>
          <w:color w:val="000000"/>
          <w:lang w:eastAsia="en-AU"/>
        </w:rPr>
        <w:t xml:space="preserve">advice to police </w:t>
      </w:r>
      <w:r w:rsidR="00B3354A">
        <w:rPr>
          <w:rFonts w:cstheme="minorBidi"/>
          <w:color w:val="000000"/>
          <w:lang w:eastAsia="en-AU"/>
        </w:rPr>
        <w:t>while</w:t>
      </w:r>
      <w:r w:rsidR="003F7895" w:rsidRPr="00C22DB8">
        <w:rPr>
          <w:rFonts w:cstheme="minorBidi"/>
          <w:color w:val="000000"/>
          <w:lang w:eastAsia="en-AU"/>
        </w:rPr>
        <w:t xml:space="preserve"> compiling </w:t>
      </w:r>
      <w:r w:rsidR="37977D9D" w:rsidRPr="00A7392F">
        <w:rPr>
          <w:rFonts w:cstheme="minorBidi"/>
          <w:color w:val="000000"/>
          <w:lang w:eastAsia="en-AU"/>
        </w:rPr>
        <w:t xml:space="preserve">a </w:t>
      </w:r>
      <w:r w:rsidR="003F7895" w:rsidRPr="00B91DE2">
        <w:rPr>
          <w:rFonts w:cstheme="minorBidi"/>
          <w:color w:val="000000"/>
          <w:lang w:eastAsia="en-AU"/>
        </w:rPr>
        <w:t>brief re</w:t>
      </w:r>
      <w:r w:rsidR="003503E5">
        <w:rPr>
          <w:rFonts w:cstheme="minorBidi"/>
          <w:color w:val="000000"/>
          <w:lang w:eastAsia="en-AU"/>
        </w:rPr>
        <w:t>garding</w:t>
      </w:r>
      <w:r w:rsidR="003F7895" w:rsidRPr="00B91DE2">
        <w:rPr>
          <w:rFonts w:cstheme="minorBidi"/>
          <w:color w:val="000000"/>
          <w:lang w:eastAsia="en-AU"/>
        </w:rPr>
        <w:t xml:space="preserve"> appropriate charges and disclosure materials</w:t>
      </w:r>
      <w:r w:rsidR="00F42ECE">
        <w:rPr>
          <w:rFonts w:cstheme="minorBidi"/>
          <w:color w:val="000000"/>
          <w:lang w:eastAsia="en-AU"/>
        </w:rPr>
        <w:t xml:space="preserve"> and be required to certify the charges and the satisfaction of disclosure obligations</w:t>
      </w:r>
      <w:r w:rsidR="003F7895" w:rsidRPr="00B91DE2">
        <w:rPr>
          <w:rFonts w:cstheme="minorBidi"/>
          <w:color w:val="000000"/>
          <w:lang w:eastAsia="en-AU"/>
        </w:rPr>
        <w:t>.</w:t>
      </w:r>
    </w:p>
    <w:p w14:paraId="4B4E59D9" w14:textId="77777777" w:rsidR="00951E07" w:rsidRPr="00951E07" w:rsidRDefault="00951E07" w:rsidP="00951E07">
      <w:pPr>
        <w:pStyle w:val="ListParagraph"/>
        <w:numPr>
          <w:ilvl w:val="0"/>
          <w:numId w:val="9"/>
        </w:numPr>
        <w:spacing w:after="60" w:line="280" w:lineRule="atLeast"/>
        <w:ind w:left="360"/>
        <w:textAlignment w:val="center"/>
        <w:rPr>
          <w:rFonts w:cstheme="minorHAnsi"/>
          <w:lang w:eastAsia="en-AU"/>
        </w:rPr>
      </w:pPr>
      <w:r>
        <w:rPr>
          <w:rFonts w:cstheme="minorHAnsi"/>
          <w:color w:val="000000"/>
          <w:lang w:eastAsia="en-AU"/>
        </w:rPr>
        <w:t>The prosecution assigns a senior prosecutor to the case, who attends the first committal mention and case conferences</w:t>
      </w:r>
      <w:r w:rsidRPr="002047D8">
        <w:rPr>
          <w:lang w:eastAsia="en-AU"/>
        </w:rPr>
        <w:t xml:space="preserve">. </w:t>
      </w:r>
    </w:p>
    <w:p w14:paraId="17D9A7D6" w14:textId="60D6034C" w:rsidR="00951E07" w:rsidRPr="00951E07" w:rsidRDefault="00951E07" w:rsidP="00951E07">
      <w:pPr>
        <w:pStyle w:val="ListParagraph"/>
        <w:numPr>
          <w:ilvl w:val="0"/>
          <w:numId w:val="9"/>
        </w:numPr>
        <w:spacing w:after="60" w:line="280" w:lineRule="atLeast"/>
        <w:ind w:left="360"/>
        <w:textAlignment w:val="center"/>
        <w:rPr>
          <w:rFonts w:cstheme="minorHAnsi"/>
          <w:lang w:eastAsia="en-AU"/>
        </w:rPr>
      </w:pPr>
      <w:r>
        <w:rPr>
          <w:lang w:eastAsia="en-AU"/>
        </w:rPr>
        <w:t xml:space="preserve">Senior defence solicitors and public defenders could be funded to likewise </w:t>
      </w:r>
      <w:r w:rsidRPr="00A15A86">
        <w:rPr>
          <w:rFonts w:cstheme="minorHAnsi"/>
          <w:color w:val="000000"/>
          <w:lang w:eastAsia="en-AU"/>
        </w:rPr>
        <w:t xml:space="preserve">staff </w:t>
      </w:r>
      <w:r>
        <w:rPr>
          <w:rFonts w:cstheme="minorHAnsi"/>
          <w:color w:val="000000"/>
          <w:lang w:eastAsia="en-AU"/>
        </w:rPr>
        <w:t xml:space="preserve">committals </w:t>
      </w:r>
      <w:r w:rsidRPr="00A15A86">
        <w:rPr>
          <w:rFonts w:cstheme="minorHAnsi"/>
          <w:color w:val="000000"/>
          <w:lang w:eastAsia="en-AU"/>
        </w:rPr>
        <w:t xml:space="preserve">with </w:t>
      </w:r>
      <w:r>
        <w:rPr>
          <w:rFonts w:cstheme="minorHAnsi"/>
          <w:color w:val="000000"/>
          <w:lang w:eastAsia="en-AU"/>
        </w:rPr>
        <w:t>appropriately experience</w:t>
      </w:r>
      <w:r w:rsidRPr="00A15A86">
        <w:rPr>
          <w:rFonts w:cstheme="minorHAnsi"/>
          <w:color w:val="000000"/>
          <w:lang w:eastAsia="en-AU"/>
        </w:rPr>
        <w:t xml:space="preserve"> lawyers</w:t>
      </w:r>
      <w:r>
        <w:rPr>
          <w:rFonts w:cstheme="minorHAnsi"/>
          <w:color w:val="000000"/>
          <w:lang w:eastAsia="en-AU"/>
        </w:rPr>
        <w:t>,</w:t>
      </w:r>
      <w:r w:rsidRPr="00951E07">
        <w:rPr>
          <w:lang w:eastAsia="en-AU"/>
        </w:rPr>
        <w:t xml:space="preserve"> </w:t>
      </w:r>
      <w:r>
        <w:rPr>
          <w:lang w:eastAsia="en-AU"/>
        </w:rPr>
        <w:t>providing continuity and seniority of representation.</w:t>
      </w:r>
    </w:p>
    <w:p w14:paraId="12D7359F" w14:textId="545EBB2E" w:rsidR="0032546F" w:rsidRPr="005A3445" w:rsidRDefault="003F7895" w:rsidP="00F235A9">
      <w:pPr>
        <w:pStyle w:val="ListParagraph"/>
        <w:numPr>
          <w:ilvl w:val="0"/>
          <w:numId w:val="9"/>
        </w:numPr>
        <w:spacing w:after="60" w:line="280" w:lineRule="atLeast"/>
        <w:ind w:left="360"/>
        <w:textAlignment w:val="center"/>
        <w:rPr>
          <w:rFonts w:cstheme="minorBidi"/>
          <w:lang w:eastAsia="en-AU"/>
        </w:rPr>
      </w:pPr>
      <w:r w:rsidRPr="00990E71">
        <w:rPr>
          <w:rFonts w:cstheme="minorBidi"/>
          <w:color w:val="000000"/>
          <w:lang w:eastAsia="en-AU"/>
        </w:rPr>
        <w:t>Two</w:t>
      </w:r>
      <w:r w:rsidR="00F235A9">
        <w:rPr>
          <w:rFonts w:cstheme="minorBidi"/>
          <w:color w:val="000000"/>
          <w:lang w:eastAsia="en-AU"/>
        </w:rPr>
        <w:t xml:space="preserve"> </w:t>
      </w:r>
      <w:r w:rsidR="00827941">
        <w:rPr>
          <w:rFonts w:cstheme="minorBidi"/>
          <w:color w:val="000000"/>
          <w:lang w:eastAsia="en-AU"/>
        </w:rPr>
        <w:t>mandated</w:t>
      </w:r>
      <w:r w:rsidR="00827941" w:rsidRPr="00990E71">
        <w:rPr>
          <w:rFonts w:cstheme="minorBidi"/>
          <w:color w:val="000000"/>
          <w:lang w:eastAsia="en-AU"/>
        </w:rPr>
        <w:t xml:space="preserve"> </w:t>
      </w:r>
      <w:r w:rsidRPr="00990E71">
        <w:rPr>
          <w:rFonts w:cstheme="minorBidi"/>
          <w:color w:val="000000"/>
          <w:lang w:eastAsia="en-AU"/>
        </w:rPr>
        <w:t>disclosure conferences would improve communication and disclosure and</w:t>
      </w:r>
      <w:r w:rsidRPr="00C22DB8">
        <w:rPr>
          <w:rFonts w:cstheme="minorBidi"/>
          <w:color w:val="000000"/>
          <w:lang w:eastAsia="en-AU"/>
        </w:rPr>
        <w:t xml:space="preserve"> foster a culture of openness</w:t>
      </w:r>
      <w:r w:rsidR="00951E07">
        <w:rPr>
          <w:rFonts w:cstheme="minorBidi"/>
          <w:color w:val="000000"/>
          <w:lang w:eastAsia="en-AU"/>
        </w:rPr>
        <w:t>:</w:t>
      </w:r>
      <w:r w:rsidRPr="00C22DB8">
        <w:rPr>
          <w:rFonts w:cstheme="minorBidi"/>
          <w:color w:val="000000"/>
          <w:lang w:eastAsia="en-AU"/>
        </w:rPr>
        <w:t xml:space="preserve"> </w:t>
      </w:r>
    </w:p>
    <w:p w14:paraId="570AB2E3" w14:textId="58810B21" w:rsidR="003F7895" w:rsidRPr="00D5502B" w:rsidRDefault="003F7895" w:rsidP="00F235A9">
      <w:pPr>
        <w:pStyle w:val="ListParagraph"/>
        <w:numPr>
          <w:ilvl w:val="1"/>
          <w:numId w:val="9"/>
        </w:numPr>
        <w:spacing w:after="60" w:line="280" w:lineRule="atLeast"/>
        <w:ind w:left="1080"/>
        <w:textAlignment w:val="center"/>
        <w:rPr>
          <w:rFonts w:cstheme="minorBidi"/>
          <w:lang w:eastAsia="en-AU"/>
        </w:rPr>
      </w:pPr>
      <w:r w:rsidRPr="00C22DB8">
        <w:rPr>
          <w:rFonts w:cstheme="minorBidi"/>
          <w:color w:val="000000"/>
          <w:lang w:eastAsia="en-AU"/>
        </w:rPr>
        <w:t>At the First Disclosure conference the parties (defence lawyer, OPP lawyer and informant) could meet via telephone conference (or in person) shortly after the filling hearing, to assist in prioritising evidence analysis</w:t>
      </w:r>
      <w:r w:rsidR="007D0FC2">
        <w:rPr>
          <w:rFonts w:cstheme="minorBidi"/>
          <w:color w:val="000000"/>
          <w:lang w:eastAsia="en-AU"/>
        </w:rPr>
        <w:t>.</w:t>
      </w:r>
    </w:p>
    <w:p w14:paraId="507D9FC1" w14:textId="23CE0903" w:rsidR="003F7895" w:rsidRPr="00B367F4" w:rsidRDefault="003F7895" w:rsidP="00F235A9">
      <w:pPr>
        <w:pStyle w:val="ListParagraph"/>
        <w:numPr>
          <w:ilvl w:val="1"/>
          <w:numId w:val="9"/>
        </w:numPr>
        <w:spacing w:after="60" w:line="280" w:lineRule="atLeast"/>
        <w:ind w:left="1080"/>
        <w:textAlignment w:val="center"/>
        <w:rPr>
          <w:rFonts w:cstheme="minorHAnsi"/>
          <w:lang w:eastAsia="en-AU"/>
        </w:rPr>
      </w:pPr>
      <w:r w:rsidRPr="002047D8">
        <w:rPr>
          <w:rFonts w:cstheme="minorHAnsi"/>
          <w:color w:val="000000"/>
          <w:lang w:eastAsia="en-AU"/>
        </w:rPr>
        <w:t xml:space="preserve">Upon receipt of </w:t>
      </w:r>
      <w:r w:rsidR="00334C7D">
        <w:rPr>
          <w:rFonts w:cstheme="minorHAnsi"/>
          <w:color w:val="000000"/>
          <w:lang w:eastAsia="en-AU"/>
        </w:rPr>
        <w:t xml:space="preserve">the </w:t>
      </w:r>
      <w:r w:rsidRPr="00C8300A">
        <w:rPr>
          <w:rFonts w:cs="Arial"/>
          <w:color w:val="000000"/>
          <w:lang w:eastAsia="en-AU"/>
        </w:rPr>
        <w:t>hand-up brief</w:t>
      </w:r>
      <w:r w:rsidRPr="00A15A86">
        <w:rPr>
          <w:rFonts w:cstheme="minorHAnsi"/>
          <w:color w:val="000000"/>
          <w:lang w:eastAsia="en-AU"/>
        </w:rPr>
        <w:t>,</w:t>
      </w:r>
      <w:r w:rsidRPr="002047D8">
        <w:rPr>
          <w:rFonts w:cstheme="minorHAnsi"/>
          <w:color w:val="000000"/>
          <w:lang w:eastAsia="en-AU"/>
        </w:rPr>
        <w:t xml:space="preserve"> </w:t>
      </w:r>
      <w:r w:rsidR="00951E07">
        <w:rPr>
          <w:rFonts w:cstheme="minorHAnsi"/>
          <w:color w:val="000000"/>
          <w:lang w:eastAsia="en-AU"/>
        </w:rPr>
        <w:t xml:space="preserve">the prosecution </w:t>
      </w:r>
      <w:r w:rsidRPr="002047D8">
        <w:rPr>
          <w:rFonts w:cstheme="minorHAnsi"/>
          <w:color w:val="000000"/>
          <w:lang w:eastAsia="en-AU"/>
        </w:rPr>
        <w:t xml:space="preserve">and defence review it. </w:t>
      </w:r>
    </w:p>
    <w:p w14:paraId="7E66A186" w14:textId="1FACF9F8" w:rsidR="003F7895" w:rsidRPr="00B367F4" w:rsidRDefault="00951E07" w:rsidP="00F235A9">
      <w:pPr>
        <w:pStyle w:val="ListParagraph"/>
        <w:numPr>
          <w:ilvl w:val="1"/>
          <w:numId w:val="9"/>
        </w:numPr>
        <w:spacing w:after="60" w:line="280" w:lineRule="atLeast"/>
        <w:ind w:left="1080"/>
        <w:textAlignment w:val="center"/>
        <w:rPr>
          <w:rFonts w:cstheme="minorHAnsi"/>
          <w:lang w:eastAsia="en-AU"/>
        </w:rPr>
      </w:pPr>
      <w:r w:rsidRPr="00C22DB8">
        <w:rPr>
          <w:rFonts w:cstheme="minorBidi"/>
          <w:color w:val="000000"/>
          <w:lang w:eastAsia="en-AU"/>
        </w:rPr>
        <w:t xml:space="preserve">At the </w:t>
      </w:r>
      <w:r w:rsidR="003F7895" w:rsidRPr="004823DE">
        <w:rPr>
          <w:rFonts w:cs="Arial"/>
          <w:color w:val="000000"/>
          <w:lang w:eastAsia="en-AU"/>
        </w:rPr>
        <w:t xml:space="preserve">Second Disclosure conference all parties could meet via telephone shortly after the </w:t>
      </w:r>
      <w:r w:rsidR="003F7895" w:rsidRPr="00FB7910">
        <w:rPr>
          <w:rFonts w:cs="Arial"/>
          <w:color w:val="000000"/>
          <w:lang w:eastAsia="en-AU"/>
        </w:rPr>
        <w:t>hand-up brief</w:t>
      </w:r>
      <w:r w:rsidR="003F7895" w:rsidRPr="004823DE">
        <w:rPr>
          <w:rFonts w:cs="Arial"/>
          <w:color w:val="000000"/>
          <w:lang w:eastAsia="en-AU"/>
        </w:rPr>
        <w:t xml:space="preserve"> is served, (and the </w:t>
      </w:r>
      <w:r w:rsidR="003F7895" w:rsidRPr="00FB7910">
        <w:rPr>
          <w:rFonts w:cs="Arial"/>
          <w:color w:val="000000"/>
          <w:lang w:eastAsia="en-AU"/>
        </w:rPr>
        <w:t>hand-up brief</w:t>
      </w:r>
      <w:r w:rsidR="003F7895" w:rsidRPr="004823DE">
        <w:rPr>
          <w:rFonts w:cs="Arial"/>
          <w:color w:val="000000"/>
          <w:lang w:eastAsia="en-AU"/>
        </w:rPr>
        <w:t xml:space="preserve"> has been reviewed by defence OPP as above) to discuss disclosure. This will assist in resolving disputes as to (i) relevance and (ii) privilege</w:t>
      </w:r>
      <w:r w:rsidR="003F7895" w:rsidRPr="00D76205">
        <w:rPr>
          <w:rFonts w:cs="Arial"/>
          <w:color w:val="000000"/>
          <w:lang w:eastAsia="en-AU"/>
        </w:rPr>
        <w:t xml:space="preserve"> and help to narrow requests where appropriate. It will also foster</w:t>
      </w:r>
      <w:r w:rsidR="003F7895" w:rsidRPr="00A15A86">
        <w:rPr>
          <w:rFonts w:cstheme="minorHAnsi"/>
          <w:color w:val="000000"/>
          <w:lang w:eastAsia="en-AU"/>
        </w:rPr>
        <w:t xml:space="preserve"> a culture of communication between the parties, designed to give effect to the ongoing obligation of disclosure. </w:t>
      </w:r>
    </w:p>
    <w:p w14:paraId="424F9FE5" w14:textId="4B570F0D" w:rsidR="003F7895" w:rsidRPr="00A15A86" w:rsidRDefault="00951E07" w:rsidP="00F235A9">
      <w:pPr>
        <w:pStyle w:val="ListParagraph"/>
        <w:numPr>
          <w:ilvl w:val="1"/>
          <w:numId w:val="9"/>
        </w:numPr>
        <w:spacing w:after="60" w:line="280" w:lineRule="atLeast"/>
        <w:ind w:left="1080"/>
        <w:textAlignment w:val="center"/>
        <w:rPr>
          <w:rFonts w:cstheme="minorHAnsi"/>
          <w:lang w:eastAsia="en-AU"/>
        </w:rPr>
      </w:pPr>
      <w:r>
        <w:rPr>
          <w:rFonts w:cstheme="minorHAnsi"/>
          <w:color w:val="000000"/>
          <w:lang w:eastAsia="en-AU"/>
        </w:rPr>
        <w:t xml:space="preserve">A senior prosecutor </w:t>
      </w:r>
      <w:r w:rsidR="003F7895" w:rsidRPr="002047D8">
        <w:rPr>
          <w:rFonts w:cstheme="minorHAnsi"/>
          <w:color w:val="000000"/>
          <w:lang w:eastAsia="en-AU"/>
        </w:rPr>
        <w:t xml:space="preserve">should </w:t>
      </w:r>
      <w:r w:rsidR="003F7895" w:rsidRPr="0032546F">
        <w:rPr>
          <w:rFonts w:cstheme="minorBidi"/>
          <w:color w:val="000000"/>
          <w:lang w:eastAsia="en-AU"/>
        </w:rPr>
        <w:t>be</w:t>
      </w:r>
      <w:r w:rsidR="003F7895" w:rsidRPr="002047D8">
        <w:rPr>
          <w:rFonts w:cstheme="minorHAnsi"/>
          <w:color w:val="000000"/>
          <w:lang w:eastAsia="en-AU"/>
        </w:rPr>
        <w:t xml:space="preserve"> required to </w:t>
      </w:r>
      <w:r>
        <w:rPr>
          <w:rFonts w:cstheme="minorHAnsi"/>
          <w:color w:val="000000"/>
          <w:lang w:eastAsia="en-AU"/>
        </w:rPr>
        <w:t xml:space="preserve">certify </w:t>
      </w:r>
      <w:r w:rsidR="003F7895" w:rsidRPr="00A15A86">
        <w:rPr>
          <w:rFonts w:cstheme="minorHAnsi"/>
          <w:color w:val="000000"/>
          <w:lang w:eastAsia="en-AU"/>
        </w:rPr>
        <w:t>the appropriateness of charges</w:t>
      </w:r>
      <w:r w:rsidR="0032546F">
        <w:rPr>
          <w:rFonts w:cstheme="minorHAnsi"/>
          <w:color w:val="000000"/>
          <w:lang w:eastAsia="en-AU"/>
        </w:rPr>
        <w:t xml:space="preserve"> and meaningful disclosure</w:t>
      </w:r>
      <w:r w:rsidR="003F7895" w:rsidRPr="00A15A86">
        <w:rPr>
          <w:rFonts w:cstheme="minorHAnsi"/>
          <w:color w:val="000000"/>
          <w:lang w:eastAsia="en-AU"/>
        </w:rPr>
        <w:t>.</w:t>
      </w:r>
    </w:p>
    <w:p w14:paraId="0218A035" w14:textId="4FD98401" w:rsidR="00951E07" w:rsidRDefault="00951E07" w:rsidP="00951E07">
      <w:pPr>
        <w:pStyle w:val="ListParagraph"/>
        <w:numPr>
          <w:ilvl w:val="0"/>
          <w:numId w:val="9"/>
        </w:numPr>
        <w:spacing w:after="60" w:line="280" w:lineRule="atLeast"/>
        <w:ind w:left="360"/>
        <w:textAlignment w:val="center"/>
        <w:rPr>
          <w:rFonts w:cstheme="minorHAnsi"/>
          <w:color w:val="000000"/>
          <w:lang w:eastAsia="en-AU"/>
        </w:rPr>
      </w:pPr>
      <w:r>
        <w:rPr>
          <w:rFonts w:cstheme="minorHAnsi"/>
          <w:color w:val="000000"/>
          <w:lang w:eastAsia="en-AU"/>
        </w:rPr>
        <w:t>T</w:t>
      </w:r>
      <w:r w:rsidRPr="002047D8">
        <w:rPr>
          <w:rFonts w:cstheme="minorHAnsi"/>
          <w:color w:val="000000"/>
          <w:lang w:eastAsia="en-AU"/>
        </w:rPr>
        <w:t>he Mag</w:t>
      </w:r>
      <w:r>
        <w:rPr>
          <w:rFonts w:cstheme="minorHAnsi"/>
          <w:color w:val="000000"/>
          <w:lang w:eastAsia="en-AU"/>
        </w:rPr>
        <w:t>istrates’</w:t>
      </w:r>
      <w:r w:rsidRPr="002047D8">
        <w:rPr>
          <w:rFonts w:cstheme="minorHAnsi"/>
          <w:color w:val="000000"/>
          <w:lang w:eastAsia="en-AU"/>
        </w:rPr>
        <w:t xml:space="preserve"> Court </w:t>
      </w:r>
      <w:r>
        <w:rPr>
          <w:rFonts w:cstheme="minorHAnsi"/>
          <w:color w:val="000000"/>
          <w:lang w:eastAsia="en-AU"/>
        </w:rPr>
        <w:t xml:space="preserve">could </w:t>
      </w:r>
      <w:r w:rsidRPr="002047D8">
        <w:rPr>
          <w:rFonts w:cstheme="minorHAnsi"/>
          <w:color w:val="000000"/>
          <w:lang w:eastAsia="en-AU"/>
        </w:rPr>
        <w:t xml:space="preserve">treat </w:t>
      </w:r>
      <w:r w:rsidRPr="00A15A86">
        <w:rPr>
          <w:rFonts w:cstheme="minorHAnsi"/>
          <w:color w:val="000000"/>
          <w:lang w:eastAsia="en-AU"/>
        </w:rPr>
        <w:t xml:space="preserve">committals </w:t>
      </w:r>
      <w:r w:rsidRPr="002047D8">
        <w:rPr>
          <w:rFonts w:cstheme="minorHAnsi"/>
          <w:color w:val="000000"/>
          <w:lang w:eastAsia="en-AU"/>
        </w:rPr>
        <w:t>as a specialist jurisdiction</w:t>
      </w:r>
      <w:r>
        <w:rPr>
          <w:rFonts w:cstheme="minorHAnsi"/>
          <w:color w:val="000000"/>
          <w:lang w:eastAsia="en-AU"/>
        </w:rPr>
        <w:t>:</w:t>
      </w:r>
    </w:p>
    <w:p w14:paraId="74FF123B" w14:textId="77777777" w:rsidR="00951E07" w:rsidRDefault="00951E07" w:rsidP="00951E07">
      <w:pPr>
        <w:pStyle w:val="ListParagraph"/>
        <w:numPr>
          <w:ilvl w:val="1"/>
          <w:numId w:val="9"/>
        </w:numPr>
        <w:spacing w:after="60" w:line="280" w:lineRule="atLeast"/>
        <w:ind w:left="1080"/>
        <w:textAlignment w:val="center"/>
        <w:rPr>
          <w:rFonts w:cstheme="minorHAnsi"/>
          <w:lang w:eastAsia="en-AU"/>
        </w:rPr>
      </w:pPr>
      <w:r w:rsidRPr="00951E07">
        <w:rPr>
          <w:rFonts w:cstheme="minorHAnsi"/>
          <w:lang w:eastAsia="en-AU"/>
        </w:rPr>
        <w:t xml:space="preserve">The filing hearing could be better used to triage and prioritise evidence, particularly any delays to forensic testing. </w:t>
      </w:r>
    </w:p>
    <w:p w14:paraId="15C533E8" w14:textId="15741DE0" w:rsidR="003F7895" w:rsidRPr="00951E07" w:rsidRDefault="00951E07" w:rsidP="00951E07">
      <w:pPr>
        <w:pStyle w:val="ListParagraph"/>
        <w:numPr>
          <w:ilvl w:val="1"/>
          <w:numId w:val="9"/>
        </w:numPr>
        <w:spacing w:after="60" w:line="280" w:lineRule="atLeast"/>
        <w:ind w:left="1080"/>
        <w:textAlignment w:val="center"/>
        <w:rPr>
          <w:rFonts w:cstheme="minorHAnsi"/>
          <w:lang w:eastAsia="en-AU"/>
        </w:rPr>
      </w:pPr>
      <w:r>
        <w:rPr>
          <w:lang w:eastAsia="en-AU"/>
        </w:rPr>
        <w:t>T</w:t>
      </w:r>
      <w:r w:rsidR="003F7895">
        <w:rPr>
          <w:lang w:eastAsia="en-AU"/>
        </w:rPr>
        <w:t xml:space="preserve">he form 32 and </w:t>
      </w:r>
      <w:r w:rsidR="005868C8">
        <w:rPr>
          <w:lang w:eastAsia="en-AU"/>
        </w:rPr>
        <w:t xml:space="preserve">any applications for leave </w:t>
      </w:r>
      <w:r w:rsidR="003F7895">
        <w:rPr>
          <w:lang w:eastAsia="en-AU"/>
        </w:rPr>
        <w:t>to cross-</w:t>
      </w:r>
      <w:r w:rsidR="003F7895" w:rsidRPr="00951E07">
        <w:rPr>
          <w:rFonts w:cstheme="minorBidi"/>
          <w:color w:val="000000"/>
          <w:lang w:eastAsia="en-AU"/>
        </w:rPr>
        <w:t>examine witnesses</w:t>
      </w:r>
      <w:r>
        <w:rPr>
          <w:rFonts w:cstheme="minorBidi"/>
          <w:color w:val="000000"/>
          <w:lang w:eastAsia="en-AU"/>
        </w:rPr>
        <w:t xml:space="preserve"> are robustly considered by the magistrate</w:t>
      </w:r>
      <w:r w:rsidR="005868C8" w:rsidRPr="00951E07">
        <w:rPr>
          <w:rFonts w:cstheme="minorBidi"/>
          <w:color w:val="000000"/>
          <w:lang w:eastAsia="en-AU"/>
        </w:rPr>
        <w:t>.</w:t>
      </w:r>
    </w:p>
    <w:p w14:paraId="7A743330" w14:textId="66AA0848" w:rsidR="00951E07" w:rsidRDefault="00951E07" w:rsidP="00951E07">
      <w:pPr>
        <w:pStyle w:val="ListParagraph"/>
        <w:numPr>
          <w:ilvl w:val="0"/>
          <w:numId w:val="9"/>
        </w:numPr>
        <w:spacing w:after="60" w:line="280" w:lineRule="atLeast"/>
        <w:ind w:left="360"/>
        <w:textAlignment w:val="center"/>
        <w:rPr>
          <w:rFonts w:cstheme="minorBidi"/>
          <w:color w:val="000000"/>
          <w:lang w:eastAsia="en-AU"/>
        </w:rPr>
      </w:pPr>
      <w:r>
        <w:rPr>
          <w:rFonts w:cstheme="minorBidi"/>
          <w:color w:val="000000"/>
          <w:lang w:eastAsia="en-AU"/>
        </w:rPr>
        <w:t>Victims and witnesses’ participation and experience is improved:</w:t>
      </w:r>
    </w:p>
    <w:p w14:paraId="07E2EFA9" w14:textId="77777777" w:rsidR="00951E07" w:rsidRDefault="00951E07" w:rsidP="00F235A9">
      <w:pPr>
        <w:pStyle w:val="ListParagraph"/>
        <w:numPr>
          <w:ilvl w:val="1"/>
          <w:numId w:val="9"/>
        </w:numPr>
        <w:spacing w:after="60" w:line="280" w:lineRule="atLeast"/>
        <w:ind w:left="1080"/>
        <w:textAlignment w:val="center"/>
        <w:rPr>
          <w:rFonts w:cstheme="minorBidi"/>
          <w:color w:val="000000"/>
          <w:lang w:eastAsia="en-AU"/>
        </w:rPr>
      </w:pPr>
      <w:r>
        <w:rPr>
          <w:rFonts w:cstheme="minorBidi"/>
          <w:color w:val="000000"/>
          <w:lang w:eastAsia="en-AU"/>
        </w:rPr>
        <w:t xml:space="preserve">Police and prosecutors communicate early and regularly about the status of the charges and the prospects on trial. </w:t>
      </w:r>
    </w:p>
    <w:p w14:paraId="35CB934E" w14:textId="2BAAC9C6" w:rsidR="00280F91" w:rsidRPr="00280F91" w:rsidRDefault="00280F91" w:rsidP="00F235A9">
      <w:pPr>
        <w:pStyle w:val="ListParagraph"/>
        <w:numPr>
          <w:ilvl w:val="1"/>
          <w:numId w:val="9"/>
        </w:numPr>
        <w:spacing w:after="60" w:line="280" w:lineRule="atLeast"/>
        <w:ind w:left="1080"/>
        <w:textAlignment w:val="center"/>
        <w:rPr>
          <w:rFonts w:cstheme="minorBidi"/>
          <w:color w:val="000000"/>
          <w:lang w:eastAsia="en-AU"/>
        </w:rPr>
      </w:pPr>
      <w:r w:rsidRPr="00280F91">
        <w:rPr>
          <w:rFonts w:cstheme="minorBidi"/>
          <w:color w:val="000000"/>
          <w:lang w:eastAsia="en-AU"/>
        </w:rPr>
        <w:t>Complainants may elect to read their statement in court, or have it read for them.</w:t>
      </w:r>
    </w:p>
    <w:p w14:paraId="27F8EAFC" w14:textId="77777777" w:rsidR="00951E07" w:rsidRPr="00280F91" w:rsidRDefault="00951E07" w:rsidP="00951E07">
      <w:pPr>
        <w:pStyle w:val="ListParagraph"/>
        <w:numPr>
          <w:ilvl w:val="1"/>
          <w:numId w:val="9"/>
        </w:numPr>
        <w:spacing w:after="60" w:line="280" w:lineRule="atLeast"/>
        <w:ind w:left="1080"/>
        <w:textAlignment w:val="center"/>
        <w:rPr>
          <w:rFonts w:cstheme="minorBidi"/>
          <w:color w:val="000000"/>
          <w:lang w:eastAsia="en-AU"/>
        </w:rPr>
      </w:pPr>
      <w:r>
        <w:rPr>
          <w:rFonts w:cstheme="minorBidi"/>
          <w:color w:val="000000"/>
          <w:lang w:eastAsia="en-AU"/>
        </w:rPr>
        <w:t xml:space="preserve">Victims and witnesses who are being cross-examined are provided with </w:t>
      </w:r>
      <w:r w:rsidRPr="00280F91">
        <w:rPr>
          <w:rFonts w:cstheme="minorBidi"/>
          <w:color w:val="000000"/>
          <w:lang w:eastAsia="en-AU"/>
        </w:rPr>
        <w:t xml:space="preserve">alternative arrangements and supports </w:t>
      </w:r>
      <w:r>
        <w:rPr>
          <w:rFonts w:cstheme="minorBidi"/>
          <w:color w:val="000000"/>
          <w:lang w:eastAsia="en-AU"/>
        </w:rPr>
        <w:t>where appropriate</w:t>
      </w:r>
      <w:r w:rsidRPr="00280F91">
        <w:rPr>
          <w:rFonts w:cstheme="minorBidi"/>
          <w:color w:val="000000"/>
          <w:lang w:eastAsia="en-AU"/>
        </w:rPr>
        <w:t>.</w:t>
      </w:r>
    </w:p>
    <w:p w14:paraId="58AC8A37" w14:textId="4EB0D909" w:rsidR="22D7C18C" w:rsidRPr="00E670A6" w:rsidRDefault="00280F91" w:rsidP="00F235A9">
      <w:pPr>
        <w:pStyle w:val="ListParagraph"/>
        <w:numPr>
          <w:ilvl w:val="1"/>
          <w:numId w:val="9"/>
        </w:numPr>
        <w:spacing w:after="60" w:line="280" w:lineRule="atLeast"/>
        <w:ind w:left="1080"/>
        <w:textAlignment w:val="center"/>
        <w:rPr>
          <w:rFonts w:ascii="Calibri" w:hAnsi="Calibri" w:cs="Calibri"/>
          <w:color w:val="000000"/>
          <w:lang w:eastAsia="en-AU"/>
        </w:rPr>
      </w:pPr>
      <w:r w:rsidRPr="00280F91">
        <w:rPr>
          <w:rFonts w:cstheme="minorBidi"/>
          <w:color w:val="000000"/>
          <w:lang w:eastAsia="en-AU"/>
        </w:rPr>
        <w:t>The magistrate closely monitors questioning to ensure it is relevant and justified, and not inti</w:t>
      </w:r>
      <w:r>
        <w:rPr>
          <w:lang w:eastAsia="en-AU"/>
        </w:rPr>
        <w:t>midating.</w:t>
      </w:r>
    </w:p>
    <w:p w14:paraId="46CCB943" w14:textId="613F3AE0" w:rsidR="003F7895" w:rsidRPr="00E44D59" w:rsidRDefault="003F7895" w:rsidP="00F8439A">
      <w:pPr>
        <w:pStyle w:val="Heading1"/>
      </w:pPr>
      <w:bookmarkStart w:id="110" w:name="_Toc17050699"/>
      <w:bookmarkStart w:id="111" w:name="_Toc17155116"/>
      <w:r w:rsidRPr="00E44D59">
        <w:lastRenderedPageBreak/>
        <w:t>Question 18. How should concerns that committal proceedings contribute to inappropriate delay be addressed?</w:t>
      </w:r>
      <w:bookmarkEnd w:id="110"/>
      <w:bookmarkEnd w:id="111"/>
    </w:p>
    <w:p w14:paraId="07608E50" w14:textId="572AB38D" w:rsidR="00794BF9" w:rsidRDefault="00444050" w:rsidP="00794BF9">
      <w:pPr>
        <w:pStyle w:val="VLADocumentText"/>
        <w:rPr>
          <w:rFonts w:eastAsia="Arial"/>
        </w:rPr>
      </w:pPr>
      <w:r w:rsidRPr="00822C5C">
        <w:rPr>
          <w:rFonts w:eastAsia="Arial"/>
        </w:rPr>
        <w:t xml:space="preserve">Addressing </w:t>
      </w:r>
      <w:r w:rsidR="003D1718" w:rsidRPr="00822C5C">
        <w:rPr>
          <w:rFonts w:eastAsia="Arial"/>
        </w:rPr>
        <w:t xml:space="preserve">the </w:t>
      </w:r>
      <w:r w:rsidRPr="00822C5C">
        <w:rPr>
          <w:rFonts w:eastAsia="Arial"/>
        </w:rPr>
        <w:t>concern</w:t>
      </w:r>
      <w:r w:rsidR="00957720" w:rsidRPr="00822C5C">
        <w:rPr>
          <w:rFonts w:eastAsia="Arial"/>
        </w:rPr>
        <w:t>s</w:t>
      </w:r>
      <w:r w:rsidRPr="00822C5C">
        <w:rPr>
          <w:rFonts w:eastAsia="Arial"/>
        </w:rPr>
        <w:t xml:space="preserve"> </w:t>
      </w:r>
      <w:r w:rsidR="00957720" w:rsidRPr="00822C5C">
        <w:rPr>
          <w:rFonts w:eastAsia="Arial"/>
        </w:rPr>
        <w:t xml:space="preserve">around delay </w:t>
      </w:r>
      <w:r w:rsidRPr="00822C5C">
        <w:rPr>
          <w:rFonts w:eastAsia="Arial"/>
        </w:rPr>
        <w:t xml:space="preserve">requires further consideration of </w:t>
      </w:r>
      <w:r w:rsidR="00AB2AED" w:rsidRPr="00822C5C">
        <w:rPr>
          <w:rFonts w:eastAsia="Arial"/>
        </w:rPr>
        <w:t xml:space="preserve">its </w:t>
      </w:r>
      <w:r w:rsidRPr="00822C5C">
        <w:rPr>
          <w:rFonts w:eastAsia="Arial"/>
        </w:rPr>
        <w:t>possible causes</w:t>
      </w:r>
      <w:r w:rsidR="00794BF9" w:rsidRPr="00822C5C">
        <w:rPr>
          <w:rFonts w:eastAsia="Arial"/>
        </w:rPr>
        <w:t>,</w:t>
      </w:r>
      <w:r w:rsidRPr="00822C5C">
        <w:rPr>
          <w:rFonts w:eastAsia="Arial"/>
        </w:rPr>
        <w:t xml:space="preserve"> and why the</w:t>
      </w:r>
      <w:r w:rsidR="00794BF9" w:rsidRPr="00822C5C">
        <w:rPr>
          <w:rFonts w:eastAsia="Arial"/>
        </w:rPr>
        <w:t xml:space="preserve"> delay</w:t>
      </w:r>
      <w:r w:rsidRPr="00822C5C">
        <w:rPr>
          <w:rFonts w:eastAsia="Arial"/>
        </w:rPr>
        <w:t xml:space="preserve"> might be inappropriate. </w:t>
      </w:r>
      <w:r w:rsidR="00794BF9" w:rsidRPr="00822C5C">
        <w:rPr>
          <w:rFonts w:eastAsia="Arial"/>
        </w:rPr>
        <w:t xml:space="preserve">The experience of Victoria and other </w:t>
      </w:r>
      <w:r w:rsidR="00822C5C" w:rsidRPr="00822C5C">
        <w:rPr>
          <w:rFonts w:eastAsia="Arial"/>
        </w:rPr>
        <w:t>s</w:t>
      </w:r>
      <w:r w:rsidR="00794BF9" w:rsidRPr="00822C5C">
        <w:rPr>
          <w:rFonts w:eastAsia="Arial"/>
        </w:rPr>
        <w:t>tates however is that disclosure issues are one of the key drivers of delay in committal proceedings.</w:t>
      </w:r>
      <w:r w:rsidR="00794BF9" w:rsidRPr="000C56DB">
        <w:rPr>
          <w:rFonts w:eastAsia="Arial"/>
        </w:rPr>
        <w:t xml:space="preserve"> </w:t>
      </w:r>
    </w:p>
    <w:p w14:paraId="4067E09B" w14:textId="56E40664" w:rsidR="00794BF9" w:rsidRDefault="00794BF9" w:rsidP="00794BF9">
      <w:pPr>
        <w:pStyle w:val="VLADocumentText"/>
        <w:rPr>
          <w:rFonts w:eastAsia="Arial"/>
          <w:lang w:val="en-US"/>
        </w:rPr>
      </w:pPr>
      <w:r>
        <w:rPr>
          <w:rFonts w:eastAsia="Arial"/>
        </w:rPr>
        <w:t>While a</w:t>
      </w:r>
      <w:r w:rsidRPr="000C56DB">
        <w:rPr>
          <w:rFonts w:eastAsia="Arial"/>
        </w:rPr>
        <w:t xml:space="preserve">djournments may be granted in </w:t>
      </w:r>
      <w:r>
        <w:rPr>
          <w:rFonts w:eastAsia="Arial"/>
        </w:rPr>
        <w:t xml:space="preserve">many </w:t>
      </w:r>
      <w:r w:rsidRPr="000C56DB">
        <w:rPr>
          <w:rFonts w:eastAsia="Arial"/>
        </w:rPr>
        <w:t>circumstances</w:t>
      </w:r>
      <w:r>
        <w:rPr>
          <w:rFonts w:eastAsia="Arial"/>
        </w:rPr>
        <w:t>,</w:t>
      </w:r>
      <w:r w:rsidRPr="000C56DB" w:rsidDel="00F4719D">
        <w:rPr>
          <w:rFonts w:eastAsia="Arial"/>
        </w:rPr>
        <w:t xml:space="preserve"> </w:t>
      </w:r>
      <w:r w:rsidRPr="000C56DB">
        <w:rPr>
          <w:rFonts w:eastAsia="Arial"/>
        </w:rPr>
        <w:t xml:space="preserve">there is no </w:t>
      </w:r>
      <w:r>
        <w:rPr>
          <w:rFonts w:eastAsia="Arial"/>
        </w:rPr>
        <w:t>single</w:t>
      </w:r>
      <w:r w:rsidRPr="000C56DB">
        <w:rPr>
          <w:rFonts w:eastAsia="Arial"/>
        </w:rPr>
        <w:t xml:space="preserve"> answer to solving these inefficiencies. The available data regarding adjournments of committal proceedings </w:t>
      </w:r>
      <w:r>
        <w:rPr>
          <w:rFonts w:eastAsia="Arial"/>
        </w:rPr>
        <w:t xml:space="preserve">also </w:t>
      </w:r>
      <w:r w:rsidRPr="000C56DB">
        <w:rPr>
          <w:rFonts w:eastAsia="Arial"/>
        </w:rPr>
        <w:t>does not assist in determining what role adjournments play in contributing to “inappropriate delay”, as the data does not discriminate as to the cause</w:t>
      </w:r>
      <w:r w:rsidR="00A05E42">
        <w:rPr>
          <w:rFonts w:eastAsia="Arial"/>
        </w:rPr>
        <w:t>.</w:t>
      </w:r>
    </w:p>
    <w:p w14:paraId="6C20751F" w14:textId="34125D7E" w:rsidR="00794BF9" w:rsidRDefault="00794BF9" w:rsidP="00794BF9">
      <w:pPr>
        <w:pStyle w:val="VLADocumentText"/>
        <w:rPr>
          <w:rFonts w:eastAsia="Arial"/>
        </w:rPr>
      </w:pPr>
      <w:r w:rsidRPr="000C56DB">
        <w:rPr>
          <w:rFonts w:eastAsia="Arial"/>
        </w:rPr>
        <w:t xml:space="preserve">For example, </w:t>
      </w:r>
      <w:r w:rsidR="009D3A13">
        <w:rPr>
          <w:rFonts w:eastAsia="Arial"/>
        </w:rPr>
        <w:t>T</w:t>
      </w:r>
      <w:r w:rsidRPr="000C56DB">
        <w:rPr>
          <w:rFonts w:eastAsia="Arial"/>
        </w:rPr>
        <w:t>ables 10-13 in the Issues Paper document the median time for a case to proceed to committal hearing. These numbers do not demonstrate that when listing the matter for committal hearing the courts list hearings to accommodate the availability of the informant, police and civilian witnesses. Therefore, the committal hearings are not always listed at the courts earliest available date.</w:t>
      </w:r>
      <w:r>
        <w:rPr>
          <w:rFonts w:eastAsia="Arial"/>
        </w:rPr>
        <w:t xml:space="preserve"> </w:t>
      </w:r>
    </w:p>
    <w:p w14:paraId="241C89BB" w14:textId="1D0111C5" w:rsidR="00F4719D" w:rsidRDefault="00BA0C16" w:rsidP="00F8439A">
      <w:pPr>
        <w:pStyle w:val="VLADocumentText"/>
        <w:rPr>
          <w:rFonts w:eastAsia="Arial"/>
        </w:rPr>
      </w:pPr>
      <w:r>
        <w:rPr>
          <w:rFonts w:eastAsia="Arial"/>
        </w:rPr>
        <w:t xml:space="preserve">Around </w:t>
      </w:r>
      <w:r w:rsidR="001C6D19">
        <w:rPr>
          <w:rFonts w:eastAsia="Arial"/>
        </w:rPr>
        <w:t>31</w:t>
      </w:r>
      <w:r>
        <w:rPr>
          <w:rFonts w:eastAsia="Arial"/>
        </w:rPr>
        <w:t xml:space="preserve"> </w:t>
      </w:r>
      <w:r w:rsidR="00B30418">
        <w:rPr>
          <w:rFonts w:eastAsia="Arial"/>
        </w:rPr>
        <w:t>per cent</w:t>
      </w:r>
      <w:r w:rsidR="00B30418" w:rsidRPr="000C56DB">
        <w:rPr>
          <w:rFonts w:eastAsia="Arial"/>
        </w:rPr>
        <w:t xml:space="preserve"> </w:t>
      </w:r>
      <w:r w:rsidR="00B30418">
        <w:rPr>
          <w:rFonts w:eastAsia="Arial"/>
        </w:rPr>
        <w:t xml:space="preserve">of matters listed for committal hearings last year had </w:t>
      </w:r>
      <w:r w:rsidR="00B30418" w:rsidRPr="000C56DB">
        <w:rPr>
          <w:rFonts w:eastAsia="Arial"/>
        </w:rPr>
        <w:t>adjourn</w:t>
      </w:r>
      <w:r w:rsidR="00B30418">
        <w:rPr>
          <w:rFonts w:eastAsia="Arial"/>
        </w:rPr>
        <w:t>ments</w:t>
      </w:r>
      <w:r w:rsidR="00B30418" w:rsidRPr="000C56DB">
        <w:rPr>
          <w:rFonts w:eastAsia="Arial"/>
        </w:rPr>
        <w:t>.</w:t>
      </w:r>
      <w:r w:rsidR="00B30418">
        <w:rPr>
          <w:rStyle w:val="FootnoteReference"/>
          <w:rFonts w:eastAsia="Arial"/>
        </w:rPr>
        <w:footnoteReference w:id="79"/>
      </w:r>
      <w:r w:rsidR="00B30418" w:rsidRPr="000C56DB">
        <w:rPr>
          <w:rFonts w:eastAsia="Arial"/>
        </w:rPr>
        <w:t xml:space="preserve"> Applications for adjournments are granted for numerous reasons, some examples include: an accused not attending court, witness</w:t>
      </w:r>
      <w:r w:rsidR="003D1718">
        <w:rPr>
          <w:rFonts w:eastAsia="Arial"/>
        </w:rPr>
        <w:t>es</w:t>
      </w:r>
      <w:r w:rsidR="00B30418" w:rsidRPr="000C56DB">
        <w:rPr>
          <w:rFonts w:eastAsia="Arial"/>
        </w:rPr>
        <w:t xml:space="preserve"> not attending court for the committal hearing, service of new evidence which necessitates the need to seek leave to call additional witnesses and </w:t>
      </w:r>
      <w:r w:rsidR="003D1718">
        <w:rPr>
          <w:rFonts w:eastAsia="Arial"/>
        </w:rPr>
        <w:t>thus in</w:t>
      </w:r>
      <w:r w:rsidR="00F16012">
        <w:rPr>
          <w:rFonts w:eastAsia="Arial"/>
        </w:rPr>
        <w:t xml:space="preserve"> </w:t>
      </w:r>
      <w:r w:rsidR="00B30418" w:rsidRPr="000C56DB">
        <w:rPr>
          <w:rFonts w:eastAsia="Arial"/>
        </w:rPr>
        <w:t>vacat</w:t>
      </w:r>
      <w:r w:rsidR="003D1718">
        <w:rPr>
          <w:rFonts w:eastAsia="Arial"/>
        </w:rPr>
        <w:t>ing</w:t>
      </w:r>
      <w:r w:rsidR="00B30418" w:rsidRPr="000C56DB">
        <w:rPr>
          <w:rFonts w:eastAsia="Arial"/>
        </w:rPr>
        <w:t xml:space="preserve"> a committal hearing</w:t>
      </w:r>
      <w:r w:rsidR="003D1718">
        <w:rPr>
          <w:rFonts w:eastAsia="Arial"/>
        </w:rPr>
        <w:t>,</w:t>
      </w:r>
      <w:r w:rsidR="00B30418" w:rsidRPr="000C56DB">
        <w:rPr>
          <w:rFonts w:eastAsia="Arial"/>
        </w:rPr>
        <w:t xml:space="preserve"> or the lack of available magistrates available to preside over the committal hearing. </w:t>
      </w:r>
      <w:r w:rsidR="003D1718">
        <w:rPr>
          <w:rFonts w:eastAsia="Arial"/>
        </w:rPr>
        <w:t xml:space="preserve">In recent times, there has been an increased number of adjournments due </w:t>
      </w:r>
      <w:r w:rsidR="00F4719D">
        <w:rPr>
          <w:rFonts w:eastAsia="Arial"/>
        </w:rPr>
        <w:t xml:space="preserve">prisoners not being produced at court by Corrections Victoria. </w:t>
      </w:r>
    </w:p>
    <w:p w14:paraId="1B31EE03" w14:textId="3F998BBB" w:rsidR="008B310E" w:rsidRDefault="008B310E" w:rsidP="008B310E">
      <w:pPr>
        <w:pStyle w:val="VLADocumentText"/>
        <w:rPr>
          <w:rFonts w:eastAsia="Arial"/>
          <w:lang w:val="en-US"/>
        </w:rPr>
      </w:pPr>
      <w:r w:rsidRPr="000C56DB">
        <w:rPr>
          <w:rFonts w:eastAsia="Arial"/>
        </w:rPr>
        <w:t xml:space="preserve">It is </w:t>
      </w:r>
      <w:r>
        <w:rPr>
          <w:rFonts w:eastAsia="Arial"/>
        </w:rPr>
        <w:t xml:space="preserve">also </w:t>
      </w:r>
      <w:r w:rsidRPr="000C56DB">
        <w:rPr>
          <w:rFonts w:eastAsia="Arial"/>
        </w:rPr>
        <w:t xml:space="preserve">often inferred that </w:t>
      </w:r>
      <w:r>
        <w:rPr>
          <w:rFonts w:eastAsia="Arial"/>
        </w:rPr>
        <w:t xml:space="preserve">inappropriate </w:t>
      </w:r>
      <w:r w:rsidRPr="000C56DB">
        <w:rPr>
          <w:rFonts w:eastAsia="Arial"/>
        </w:rPr>
        <w:t>delay is attributable to the accused</w:t>
      </w:r>
      <w:r>
        <w:rPr>
          <w:rFonts w:eastAsia="Arial"/>
        </w:rPr>
        <w:t>, h</w:t>
      </w:r>
      <w:r w:rsidRPr="000C56DB">
        <w:rPr>
          <w:rFonts w:eastAsia="Arial"/>
        </w:rPr>
        <w:t xml:space="preserve">owever, </w:t>
      </w:r>
      <w:r>
        <w:rPr>
          <w:rFonts w:eastAsia="Arial"/>
        </w:rPr>
        <w:t>in our experience delay is commonly due to factors beyond the accused’s control</w:t>
      </w:r>
      <w:r w:rsidR="001E431B">
        <w:rPr>
          <w:rFonts w:eastAsia="Arial"/>
        </w:rPr>
        <w:t>,</w:t>
      </w:r>
      <w:r>
        <w:rPr>
          <w:rFonts w:eastAsia="Arial"/>
        </w:rPr>
        <w:t xml:space="preserve"> </w:t>
      </w:r>
      <w:r w:rsidR="001E431B">
        <w:rPr>
          <w:rFonts w:eastAsia="Arial"/>
        </w:rPr>
        <w:t xml:space="preserve">for example, </w:t>
      </w:r>
      <w:r>
        <w:rPr>
          <w:rFonts w:eastAsia="Arial"/>
        </w:rPr>
        <w:t xml:space="preserve">non-transportation to </w:t>
      </w:r>
      <w:r w:rsidR="00794BF9">
        <w:rPr>
          <w:rFonts w:eastAsia="Arial"/>
        </w:rPr>
        <w:t>c</w:t>
      </w:r>
      <w:r w:rsidRPr="000C56DB">
        <w:rPr>
          <w:rFonts w:eastAsia="Arial"/>
        </w:rPr>
        <w:t>ourt.</w:t>
      </w:r>
      <w:r>
        <w:rPr>
          <w:rFonts w:eastAsia="Arial"/>
        </w:rPr>
        <w:t xml:space="preserve"> Delay may also have a del</w:t>
      </w:r>
      <w:r w:rsidR="009D3A13">
        <w:rPr>
          <w:rFonts w:eastAsia="Arial"/>
        </w:rPr>
        <w:t>ete</w:t>
      </w:r>
      <w:r>
        <w:rPr>
          <w:rFonts w:eastAsia="Arial"/>
        </w:rPr>
        <w:t xml:space="preserve">rious effect on the accused including extended time in custody. </w:t>
      </w:r>
    </w:p>
    <w:p w14:paraId="1CD68789" w14:textId="2E39710E" w:rsidR="003F7895" w:rsidRPr="000C56DB" w:rsidRDefault="00EF20C3" w:rsidP="000C56DB">
      <w:pPr>
        <w:pStyle w:val="VLADocumentText"/>
        <w:rPr>
          <w:rFonts w:eastAsia="Arial"/>
        </w:rPr>
      </w:pPr>
      <w:r>
        <w:rPr>
          <w:rFonts w:eastAsia="Arial"/>
        </w:rPr>
        <w:t>Unproductive de</w:t>
      </w:r>
      <w:r w:rsidR="558C360B" w:rsidRPr="000C56DB">
        <w:rPr>
          <w:rFonts w:eastAsia="Arial"/>
        </w:rPr>
        <w:t xml:space="preserve">lay </w:t>
      </w:r>
      <w:r>
        <w:rPr>
          <w:rFonts w:eastAsia="Arial"/>
        </w:rPr>
        <w:t xml:space="preserve">in </w:t>
      </w:r>
      <w:r w:rsidR="00EC58AE">
        <w:rPr>
          <w:rFonts w:eastAsia="Arial"/>
        </w:rPr>
        <w:t xml:space="preserve">the </w:t>
      </w:r>
      <w:r w:rsidR="558C360B" w:rsidRPr="000C56DB">
        <w:rPr>
          <w:rFonts w:eastAsia="Arial"/>
        </w:rPr>
        <w:t>committal process</w:t>
      </w:r>
      <w:r w:rsidR="00F16012">
        <w:rPr>
          <w:rFonts w:eastAsia="Arial"/>
        </w:rPr>
        <w:t xml:space="preserve"> </w:t>
      </w:r>
      <w:r w:rsidR="007F7622">
        <w:rPr>
          <w:rFonts w:eastAsia="Arial"/>
        </w:rPr>
        <w:t xml:space="preserve">could </w:t>
      </w:r>
      <w:r w:rsidR="558C360B" w:rsidRPr="000C56DB">
        <w:rPr>
          <w:rFonts w:eastAsia="Arial"/>
        </w:rPr>
        <w:t xml:space="preserve">be alleviated </w:t>
      </w:r>
      <w:r w:rsidR="007F7622">
        <w:rPr>
          <w:rFonts w:eastAsia="Arial"/>
        </w:rPr>
        <w:t xml:space="preserve">through </w:t>
      </w:r>
      <w:r w:rsidR="558C360B" w:rsidRPr="000C56DB">
        <w:rPr>
          <w:rFonts w:eastAsia="Arial"/>
        </w:rPr>
        <w:t xml:space="preserve">the </w:t>
      </w:r>
      <w:r>
        <w:rPr>
          <w:rFonts w:eastAsia="Arial"/>
        </w:rPr>
        <w:t xml:space="preserve">recommendations </w:t>
      </w:r>
      <w:r w:rsidR="558C360B" w:rsidRPr="000C56DB">
        <w:rPr>
          <w:rFonts w:eastAsia="Arial"/>
        </w:rPr>
        <w:t>outlined in this submission</w:t>
      </w:r>
      <w:r>
        <w:rPr>
          <w:rFonts w:eastAsia="Arial"/>
        </w:rPr>
        <w:t>,</w:t>
      </w:r>
      <w:r w:rsidR="558C360B" w:rsidRPr="000C56DB">
        <w:rPr>
          <w:rFonts w:eastAsia="Arial"/>
        </w:rPr>
        <w:t xml:space="preserve"> which focus </w:t>
      </w:r>
      <w:r w:rsidR="007F7622">
        <w:rPr>
          <w:rFonts w:eastAsia="Arial"/>
        </w:rPr>
        <w:t>on</w:t>
      </w:r>
      <w:r w:rsidR="558C360B" w:rsidRPr="000C56DB">
        <w:rPr>
          <w:rFonts w:eastAsia="Arial"/>
        </w:rPr>
        <w:t xml:space="preserve"> open dialogue between parties</w:t>
      </w:r>
      <w:r w:rsidR="00D508F4">
        <w:rPr>
          <w:rFonts w:eastAsia="Arial"/>
        </w:rPr>
        <w:t xml:space="preserve">, </w:t>
      </w:r>
      <w:r>
        <w:rPr>
          <w:rFonts w:eastAsia="Arial"/>
        </w:rPr>
        <w:t xml:space="preserve">early engagement with the evidence </w:t>
      </w:r>
      <w:r w:rsidR="558C360B" w:rsidRPr="000C56DB">
        <w:rPr>
          <w:rFonts w:eastAsia="Arial"/>
        </w:rPr>
        <w:t>to resolve disclosure issues</w:t>
      </w:r>
      <w:r>
        <w:rPr>
          <w:rFonts w:eastAsia="Arial"/>
        </w:rPr>
        <w:t>, and appropriate seniority to accept decisions</w:t>
      </w:r>
      <w:r w:rsidR="004E6CBC">
        <w:rPr>
          <w:rFonts w:eastAsia="Arial"/>
        </w:rPr>
        <w:t>.</w:t>
      </w:r>
      <w:r w:rsidR="00D508F4">
        <w:rPr>
          <w:rFonts w:eastAsia="Arial"/>
        </w:rPr>
        <w:t xml:space="preserve"> Specifically this could</w:t>
      </w:r>
      <w:r w:rsidR="007F7622">
        <w:rPr>
          <w:rFonts w:eastAsia="Arial"/>
        </w:rPr>
        <w:t xml:space="preserve"> includ</w:t>
      </w:r>
      <w:r w:rsidR="00D508F4">
        <w:rPr>
          <w:rFonts w:eastAsia="Arial"/>
        </w:rPr>
        <w:t>e</w:t>
      </w:r>
      <w:r w:rsidR="558C360B" w:rsidRPr="000C56DB">
        <w:rPr>
          <w:rFonts w:eastAsia="Arial"/>
        </w:rPr>
        <w:t>:</w:t>
      </w:r>
    </w:p>
    <w:p w14:paraId="10C2B408" w14:textId="0092606D" w:rsidR="000972F3" w:rsidRDefault="000972F3" w:rsidP="00F27015">
      <w:pPr>
        <w:pStyle w:val="VLADocumentText"/>
        <w:numPr>
          <w:ilvl w:val="0"/>
          <w:numId w:val="52"/>
        </w:numPr>
        <w:spacing w:before="80"/>
        <w:ind w:left="714" w:hanging="357"/>
        <w:rPr>
          <w:rFonts w:eastAsia="Arial"/>
        </w:rPr>
      </w:pPr>
      <w:r w:rsidRPr="000C56DB">
        <w:rPr>
          <w:rFonts w:eastAsia="Arial"/>
        </w:rPr>
        <w:t>senior prosecutor</w:t>
      </w:r>
      <w:r>
        <w:rPr>
          <w:rFonts w:eastAsia="Arial"/>
        </w:rPr>
        <w:t>s</w:t>
      </w:r>
      <w:r w:rsidRPr="000C56DB">
        <w:rPr>
          <w:rFonts w:eastAsia="Arial"/>
        </w:rPr>
        <w:t xml:space="preserve"> be</w:t>
      </w:r>
      <w:r>
        <w:rPr>
          <w:rFonts w:eastAsia="Arial"/>
        </w:rPr>
        <w:t>ing</w:t>
      </w:r>
      <w:r w:rsidRPr="000C56DB">
        <w:rPr>
          <w:rFonts w:eastAsia="Arial"/>
        </w:rPr>
        <w:t xml:space="preserve"> resourced to prepare and engage with the evidence and the parties at the earliest stage of committal proceedings</w:t>
      </w:r>
      <w:r>
        <w:rPr>
          <w:rFonts w:eastAsia="Arial"/>
        </w:rPr>
        <w:t xml:space="preserve">, </w:t>
      </w:r>
      <w:r w:rsidRPr="000C56DB">
        <w:rPr>
          <w:rFonts w:eastAsia="Arial"/>
        </w:rPr>
        <w:t xml:space="preserve">and </w:t>
      </w:r>
      <w:r>
        <w:rPr>
          <w:rFonts w:eastAsia="Arial"/>
        </w:rPr>
        <w:t xml:space="preserve">being required to </w:t>
      </w:r>
      <w:r w:rsidRPr="000C56DB">
        <w:rPr>
          <w:rFonts w:eastAsia="Arial"/>
        </w:rPr>
        <w:t>sign a certificate approving the charges</w:t>
      </w:r>
      <w:r>
        <w:rPr>
          <w:rFonts w:eastAsia="Arial"/>
        </w:rPr>
        <w:t xml:space="preserve">; </w:t>
      </w:r>
    </w:p>
    <w:p w14:paraId="19DC7E94" w14:textId="3CF7FB03" w:rsidR="00F317A3" w:rsidRPr="000C56DB" w:rsidRDefault="00F317A3" w:rsidP="00F27015">
      <w:pPr>
        <w:pStyle w:val="VLADocumentText"/>
        <w:numPr>
          <w:ilvl w:val="0"/>
          <w:numId w:val="52"/>
        </w:numPr>
        <w:spacing w:before="80"/>
        <w:ind w:left="714" w:hanging="357"/>
      </w:pPr>
      <w:r>
        <w:rPr>
          <w:rFonts w:eastAsia="Arial"/>
        </w:rPr>
        <w:t xml:space="preserve">funding for the provision of </w:t>
      </w:r>
      <w:r w:rsidRPr="0027515A">
        <w:rPr>
          <w:rFonts w:eastAsia="Arial"/>
        </w:rPr>
        <w:t>senior public defenders or senior lawyers for committal</w:t>
      </w:r>
      <w:r>
        <w:rPr>
          <w:rFonts w:eastAsia="Arial"/>
        </w:rPr>
        <w:t xml:space="preserve"> </w:t>
      </w:r>
      <w:r w:rsidRPr="0027515A">
        <w:rPr>
          <w:rFonts w:eastAsia="Arial"/>
        </w:rPr>
        <w:t>matters</w:t>
      </w:r>
      <w:r>
        <w:rPr>
          <w:rFonts w:eastAsia="Arial"/>
        </w:rPr>
        <w:t xml:space="preserve"> to ensure that experience defence practitioners are </w:t>
      </w:r>
      <w:r w:rsidRPr="0027515A">
        <w:rPr>
          <w:rFonts w:eastAsia="Arial"/>
        </w:rPr>
        <w:t>engage</w:t>
      </w:r>
      <w:r>
        <w:rPr>
          <w:rFonts w:eastAsia="Arial"/>
        </w:rPr>
        <w:t>d</w:t>
      </w:r>
      <w:r w:rsidRPr="0027515A">
        <w:rPr>
          <w:rFonts w:eastAsia="Arial"/>
        </w:rPr>
        <w:t xml:space="preserve"> in early discussions and, where appropriate, resolutions</w:t>
      </w:r>
      <w:r>
        <w:rPr>
          <w:rFonts w:eastAsia="Arial"/>
        </w:rPr>
        <w:t>;</w:t>
      </w:r>
      <w:r w:rsidRPr="000C56DB">
        <w:rPr>
          <w:rFonts w:eastAsia="Arial"/>
        </w:rPr>
        <w:t xml:space="preserve"> </w:t>
      </w:r>
    </w:p>
    <w:p w14:paraId="33A7220A" w14:textId="40422A2C" w:rsidR="003F7895" w:rsidRPr="00C62734" w:rsidRDefault="000C56DB" w:rsidP="00F27015">
      <w:pPr>
        <w:pStyle w:val="VLADocumentText"/>
        <w:numPr>
          <w:ilvl w:val="0"/>
          <w:numId w:val="52"/>
        </w:numPr>
        <w:spacing w:before="80"/>
        <w:ind w:left="714" w:hanging="357"/>
      </w:pPr>
      <w:r w:rsidRPr="000C56DB">
        <w:rPr>
          <w:rFonts w:eastAsia="Arial"/>
        </w:rPr>
        <w:t>pr</w:t>
      </w:r>
      <w:r w:rsidR="558C360B" w:rsidRPr="000C56DB">
        <w:rPr>
          <w:rFonts w:eastAsia="Arial"/>
        </w:rPr>
        <w:t xml:space="preserve">oposed early stage disclosure conferences by way of </w:t>
      </w:r>
      <w:r w:rsidR="002B0358">
        <w:rPr>
          <w:rFonts w:eastAsia="Arial"/>
        </w:rPr>
        <w:t xml:space="preserve">the recommended </w:t>
      </w:r>
      <w:r w:rsidR="558C360B" w:rsidRPr="000C56DB">
        <w:rPr>
          <w:rFonts w:eastAsia="Arial"/>
        </w:rPr>
        <w:t>First Disclosure Conference and Second Disclosure Conference</w:t>
      </w:r>
      <w:r w:rsidR="000C2D95">
        <w:rPr>
          <w:rFonts w:eastAsia="Arial"/>
        </w:rPr>
        <w:t>;</w:t>
      </w:r>
      <w:r w:rsidR="558C360B" w:rsidRPr="000C56DB">
        <w:rPr>
          <w:rFonts w:eastAsia="Arial"/>
        </w:rPr>
        <w:t xml:space="preserve"> </w:t>
      </w:r>
    </w:p>
    <w:p w14:paraId="1158F711" w14:textId="1B616345" w:rsidR="00F01D68" w:rsidRPr="00C62734" w:rsidRDefault="00F01D68" w:rsidP="00F27015">
      <w:pPr>
        <w:pStyle w:val="VLADocumentText"/>
        <w:numPr>
          <w:ilvl w:val="0"/>
          <w:numId w:val="52"/>
        </w:numPr>
        <w:spacing w:before="80"/>
        <w:ind w:left="714" w:hanging="357"/>
      </w:pPr>
      <w:r w:rsidRPr="000C56DB">
        <w:rPr>
          <w:rFonts w:eastAsia="Arial"/>
        </w:rPr>
        <w:t>forensic services and analysts hav</w:t>
      </w:r>
      <w:r w:rsidR="005C6137">
        <w:rPr>
          <w:rFonts w:eastAsia="Arial"/>
        </w:rPr>
        <w:t>ing</w:t>
      </w:r>
      <w:r w:rsidRPr="000C56DB">
        <w:rPr>
          <w:rFonts w:eastAsia="Arial"/>
        </w:rPr>
        <w:t xml:space="preserve"> an active presence or voice in communicating to the court what services they can realistically deliver</w:t>
      </w:r>
      <w:r w:rsidR="00EC58AE">
        <w:rPr>
          <w:rFonts w:eastAsia="Arial"/>
        </w:rPr>
        <w:t>;</w:t>
      </w:r>
    </w:p>
    <w:p w14:paraId="14C8A1A0" w14:textId="66803DEE" w:rsidR="005C5A97" w:rsidRPr="005C5A97" w:rsidRDefault="000C56DB" w:rsidP="00F27015">
      <w:pPr>
        <w:pStyle w:val="VLADocumentText"/>
        <w:numPr>
          <w:ilvl w:val="0"/>
          <w:numId w:val="52"/>
        </w:numPr>
        <w:spacing w:before="80"/>
        <w:ind w:left="714" w:hanging="357"/>
        <w:rPr>
          <w:rFonts w:eastAsia="Arial"/>
        </w:rPr>
      </w:pPr>
      <w:r w:rsidRPr="005C5A97">
        <w:rPr>
          <w:rFonts w:eastAsia="Arial"/>
        </w:rPr>
        <w:t xml:space="preserve">senior prosecutors with delegated authority </w:t>
      </w:r>
      <w:r w:rsidR="00ED1C9F" w:rsidRPr="005C5A97">
        <w:rPr>
          <w:rFonts w:eastAsia="Arial"/>
        </w:rPr>
        <w:t xml:space="preserve">being resourced </w:t>
      </w:r>
      <w:r w:rsidRPr="005C5A97">
        <w:rPr>
          <w:rFonts w:eastAsia="Arial"/>
        </w:rPr>
        <w:t>to consider and approve plea offers</w:t>
      </w:r>
      <w:r w:rsidR="00F748DA" w:rsidRPr="005C5A97">
        <w:rPr>
          <w:rFonts w:eastAsia="Arial"/>
        </w:rPr>
        <w:t>.</w:t>
      </w:r>
      <w:bookmarkStart w:id="112" w:name="_Toc17050700"/>
    </w:p>
    <w:p w14:paraId="561FFC03" w14:textId="72D29C71" w:rsidR="003F7895" w:rsidRPr="00E44D59" w:rsidRDefault="003F7895" w:rsidP="005C5A97">
      <w:pPr>
        <w:pStyle w:val="Heading1"/>
      </w:pPr>
      <w:bookmarkStart w:id="113" w:name="_Toc17155117"/>
      <w:r w:rsidRPr="005C5A97">
        <w:rPr>
          <w:rFonts w:eastAsia="Arial"/>
        </w:rPr>
        <w:lastRenderedPageBreak/>
        <w:t>Question 19. How should concerns that other pre-trial processes contribute</w:t>
      </w:r>
      <w:r w:rsidRPr="00E44D59">
        <w:t xml:space="preserve"> to inappropriate delay be addressed?</w:t>
      </w:r>
      <w:bookmarkEnd w:id="112"/>
      <w:bookmarkEnd w:id="113"/>
    </w:p>
    <w:p w14:paraId="08BFEC1F" w14:textId="6E2EB69A" w:rsidR="00F748DA" w:rsidRDefault="003F7895" w:rsidP="003F7895">
      <w:pPr>
        <w:pStyle w:val="VLADocumentText"/>
        <w:rPr>
          <w:lang w:eastAsia="en-AU"/>
        </w:rPr>
      </w:pPr>
      <w:r w:rsidRPr="00C62734">
        <w:rPr>
          <w:rFonts w:cstheme="minorBidi"/>
          <w:lang w:eastAsia="en-AU"/>
        </w:rPr>
        <w:t xml:space="preserve">The </w:t>
      </w:r>
      <w:r w:rsidRPr="00E719F5">
        <w:rPr>
          <w:lang w:eastAsia="en-AU"/>
        </w:rPr>
        <w:t xml:space="preserve">delay in all court processes is a function of </w:t>
      </w:r>
      <w:r>
        <w:rPr>
          <w:lang w:eastAsia="en-AU"/>
        </w:rPr>
        <w:t xml:space="preserve">court </w:t>
      </w:r>
      <w:r w:rsidRPr="00E719F5">
        <w:rPr>
          <w:lang w:eastAsia="en-AU"/>
        </w:rPr>
        <w:t>workload</w:t>
      </w:r>
      <w:r>
        <w:rPr>
          <w:lang w:eastAsia="en-AU"/>
        </w:rPr>
        <w:t>, space capacity</w:t>
      </w:r>
      <w:r w:rsidRPr="00E719F5">
        <w:rPr>
          <w:lang w:eastAsia="en-AU"/>
        </w:rPr>
        <w:t xml:space="preserve"> </w:t>
      </w:r>
      <w:r>
        <w:rPr>
          <w:lang w:eastAsia="en-AU"/>
        </w:rPr>
        <w:t>and circuit allocation requirements</w:t>
      </w:r>
      <w:r w:rsidRPr="00E719F5">
        <w:rPr>
          <w:lang w:eastAsia="en-AU"/>
        </w:rPr>
        <w:t xml:space="preserve">. </w:t>
      </w:r>
      <w:r w:rsidR="00F748DA">
        <w:rPr>
          <w:lang w:eastAsia="en-AU"/>
        </w:rPr>
        <w:t xml:space="preserve">This limited space capacity gives us concern that delays in the higher courts will increase if they are required to absorb the case management function of committal proceedings. </w:t>
      </w:r>
    </w:p>
    <w:p w14:paraId="1A72F617" w14:textId="16E50641" w:rsidR="00F748DA" w:rsidRPr="0052728A" w:rsidRDefault="003F7895" w:rsidP="003F7895">
      <w:pPr>
        <w:pStyle w:val="VLADocumentText"/>
        <w:rPr>
          <w:rFonts w:cstheme="minorBidi"/>
          <w:lang w:eastAsia="en-AU"/>
        </w:rPr>
      </w:pPr>
      <w:r w:rsidRPr="00E719F5">
        <w:rPr>
          <w:lang w:eastAsia="en-AU"/>
        </w:rPr>
        <w:t xml:space="preserve">Pre-trial processes </w:t>
      </w:r>
      <w:r w:rsidR="2D04CE91" w:rsidRPr="00E719F5">
        <w:rPr>
          <w:lang w:eastAsia="en-AU"/>
        </w:rPr>
        <w:t>such as initial directions he</w:t>
      </w:r>
      <w:r w:rsidR="696AAE4A" w:rsidRPr="00E719F5">
        <w:rPr>
          <w:lang w:eastAsia="en-AU"/>
        </w:rPr>
        <w:t xml:space="preserve">arings </w:t>
      </w:r>
      <w:r w:rsidR="238BA0E8" w:rsidRPr="00E719F5">
        <w:rPr>
          <w:lang w:eastAsia="en-AU"/>
        </w:rPr>
        <w:t>a</w:t>
      </w:r>
      <w:r w:rsidR="4FD8D5B7" w:rsidRPr="00E719F5">
        <w:rPr>
          <w:lang w:eastAsia="en-AU"/>
        </w:rPr>
        <w:t>nd final directions hearings in the County Court</w:t>
      </w:r>
      <w:r w:rsidR="238BA0E8" w:rsidRPr="00E719F5">
        <w:rPr>
          <w:lang w:eastAsia="en-AU"/>
        </w:rPr>
        <w:t xml:space="preserve"> </w:t>
      </w:r>
      <w:r w:rsidRPr="00E719F5">
        <w:rPr>
          <w:lang w:eastAsia="en-AU"/>
        </w:rPr>
        <w:t xml:space="preserve">are designed to </w:t>
      </w:r>
      <w:r w:rsidR="4D69285B" w:rsidRPr="00022395">
        <w:rPr>
          <w:lang w:eastAsia="en-AU"/>
        </w:rPr>
        <w:t xml:space="preserve">provide a platform through which parties communicate their readiness to proceed to trial, an opportunity for Judges to </w:t>
      </w:r>
      <w:r w:rsidR="4D69285B" w:rsidRPr="0052728A">
        <w:rPr>
          <w:lang w:eastAsia="en-AU"/>
        </w:rPr>
        <w:t xml:space="preserve">hold parties to account </w:t>
      </w:r>
      <w:r w:rsidR="2907FEF2" w:rsidRPr="0052728A">
        <w:rPr>
          <w:lang w:eastAsia="en-AU"/>
        </w:rPr>
        <w:t xml:space="preserve">to their obligations under the </w:t>
      </w:r>
      <w:r w:rsidR="630697A5" w:rsidRPr="0052728A">
        <w:rPr>
          <w:lang w:eastAsia="en-AU"/>
        </w:rPr>
        <w:t>Criminal Procedure Act</w:t>
      </w:r>
      <w:r w:rsidR="2907FEF2" w:rsidRPr="0052728A">
        <w:rPr>
          <w:i/>
          <w:iCs/>
          <w:lang w:eastAsia="en-AU"/>
        </w:rPr>
        <w:t xml:space="preserve"> </w:t>
      </w:r>
      <w:r w:rsidR="2907FEF2" w:rsidRPr="0052728A">
        <w:rPr>
          <w:lang w:eastAsia="en-AU"/>
        </w:rPr>
        <w:t xml:space="preserve">or under County Court practice notes </w:t>
      </w:r>
      <w:r w:rsidR="630697A5" w:rsidRPr="0052728A">
        <w:rPr>
          <w:lang w:eastAsia="en-AU"/>
        </w:rPr>
        <w:t xml:space="preserve">and to guard against </w:t>
      </w:r>
      <w:r w:rsidR="15E1EE41" w:rsidRPr="0052728A">
        <w:rPr>
          <w:lang w:eastAsia="en-AU"/>
        </w:rPr>
        <w:t>last minute trial adjournments.</w:t>
      </w:r>
      <w:r w:rsidR="0C6D2E01" w:rsidRPr="0052728A">
        <w:rPr>
          <w:lang w:eastAsia="en-AU"/>
        </w:rPr>
        <w:t xml:space="preserve"> </w:t>
      </w:r>
    </w:p>
    <w:p w14:paraId="581C7D51" w14:textId="44A85FF6" w:rsidR="003F7895" w:rsidRPr="0052728A" w:rsidRDefault="003F7895" w:rsidP="00E05B5E">
      <w:pPr>
        <w:pStyle w:val="Heading1"/>
      </w:pPr>
      <w:bookmarkStart w:id="114" w:name="_Toc17050701"/>
      <w:bookmarkStart w:id="115" w:name="_Toc17155118"/>
      <w:r w:rsidRPr="0052728A">
        <w:t>Question 20. Do committal proceedings contribute to inappropriate delay in the Children's Court?</w:t>
      </w:r>
      <w:bookmarkEnd w:id="114"/>
      <w:bookmarkEnd w:id="115"/>
      <w:r w:rsidRPr="0052728A">
        <w:t xml:space="preserve"> </w:t>
      </w:r>
    </w:p>
    <w:p w14:paraId="7E99A1E1" w14:textId="4B5F8EA9" w:rsidR="00DA6777" w:rsidRDefault="00806271" w:rsidP="00DA6777">
      <w:pPr>
        <w:pStyle w:val="VLADocumentText"/>
        <w:rPr>
          <w:color w:val="000000" w:themeColor="text1"/>
        </w:rPr>
      </w:pPr>
      <w:r w:rsidRPr="0052728A">
        <w:rPr>
          <w:color w:val="000000" w:themeColor="text1"/>
        </w:rPr>
        <w:t xml:space="preserve">Conducting committals for children in the Children’s Court </w:t>
      </w:r>
      <w:r w:rsidR="007656C4" w:rsidRPr="0052728A">
        <w:rPr>
          <w:color w:val="000000" w:themeColor="text1"/>
        </w:rPr>
        <w:t>is a crucial aspect of their right to</w:t>
      </w:r>
      <w:r w:rsidR="00485D0B" w:rsidRPr="0052728A">
        <w:rPr>
          <w:color w:val="000000" w:themeColor="text1"/>
        </w:rPr>
        <w:t xml:space="preserve"> access a specialised </w:t>
      </w:r>
      <w:r w:rsidR="00DA6777" w:rsidRPr="0052728A">
        <w:rPr>
          <w:color w:val="000000" w:themeColor="text1"/>
        </w:rPr>
        <w:t xml:space="preserve">justice system </w:t>
      </w:r>
      <w:r w:rsidR="00485D0B" w:rsidRPr="0052728A">
        <w:rPr>
          <w:color w:val="000000" w:themeColor="text1"/>
        </w:rPr>
        <w:t xml:space="preserve">that caters for their needs, </w:t>
      </w:r>
      <w:r w:rsidR="00F20FD1" w:rsidRPr="0052728A">
        <w:rPr>
          <w:color w:val="000000" w:themeColor="text1"/>
        </w:rPr>
        <w:t xml:space="preserve">and in our experience does </w:t>
      </w:r>
      <w:r w:rsidR="002A0C31" w:rsidRPr="0052728A">
        <w:rPr>
          <w:color w:val="000000" w:themeColor="text1"/>
        </w:rPr>
        <w:t>not cause undue delay.</w:t>
      </w:r>
      <w:r w:rsidR="002A0C31">
        <w:rPr>
          <w:color w:val="000000" w:themeColor="text1"/>
        </w:rPr>
        <w:t xml:space="preserve"> </w:t>
      </w:r>
    </w:p>
    <w:p w14:paraId="23854330" w14:textId="77777777" w:rsidR="003F7895" w:rsidRPr="00C46420" w:rsidRDefault="003F7895" w:rsidP="0032546F">
      <w:pPr>
        <w:pStyle w:val="VLADocumentText"/>
      </w:pPr>
      <w:r w:rsidRPr="00C46420">
        <w:rPr>
          <w:rStyle w:val="CharSectNo"/>
          <w:rFonts w:cs="Arial"/>
        </w:rPr>
        <w:t xml:space="preserve">The Victorian </w:t>
      </w:r>
      <w:r w:rsidRPr="00C46420">
        <w:rPr>
          <w:rStyle w:val="CharSectNo"/>
          <w:rFonts w:cs="Arial"/>
          <w:i/>
        </w:rPr>
        <w:t>Charter of Rights and Responsibilities Act 2006</w:t>
      </w:r>
      <w:r w:rsidRPr="00C46420">
        <w:rPr>
          <w:rStyle w:val="CharSectNo"/>
          <w:rFonts w:cs="Arial"/>
        </w:rPr>
        <w:t xml:space="preserve"> </w:t>
      </w:r>
      <w:r w:rsidRPr="00C46420">
        <w:t>draws upon the United Nation Convention on the Rights of the Child which provides, among other things, that children be dealt in manner that takes account of their particular needs.</w:t>
      </w:r>
      <w:r>
        <w:t xml:space="preserve"> </w:t>
      </w:r>
      <w:r w:rsidRPr="00C46420">
        <w:t xml:space="preserve">In particular, the </w:t>
      </w:r>
      <w:r>
        <w:t xml:space="preserve">Victorian </w:t>
      </w:r>
      <w:r w:rsidRPr="00784B27">
        <w:t>Charter of Human Rights and Responsibilities</w:t>
      </w:r>
      <w:r w:rsidRPr="00C46420">
        <w:rPr>
          <w:i/>
        </w:rPr>
        <w:t xml:space="preserve"> </w:t>
      </w:r>
      <w:r w:rsidRPr="00C46420">
        <w:t>provides that:</w:t>
      </w:r>
    </w:p>
    <w:p w14:paraId="4A6F3D1D" w14:textId="77777777" w:rsidR="003F7895" w:rsidRPr="00743028" w:rsidRDefault="003F7895" w:rsidP="003F7895">
      <w:pPr>
        <w:pStyle w:val="VLAquotation"/>
        <w:jc w:val="both"/>
        <w:rPr>
          <w:rFonts w:eastAsia="Arial" w:cs="Arial"/>
        </w:rPr>
      </w:pPr>
      <w:r w:rsidRPr="00C46420">
        <w:rPr>
          <w:rFonts w:cs="Arial"/>
        </w:rPr>
        <w:t xml:space="preserve">A </w:t>
      </w:r>
      <w:r w:rsidRPr="00743028">
        <w:rPr>
          <w:rFonts w:eastAsia="Arial" w:cs="Arial"/>
        </w:rPr>
        <w:t>child charged with a criminal offence has the right to a procedure that takes account of his or her age and the desirability of promoting the child's rehabilitation.</w:t>
      </w:r>
      <w:r w:rsidRPr="00743028">
        <w:rPr>
          <w:rStyle w:val="FootnoteReference"/>
          <w:rFonts w:eastAsia="Arial" w:cs="Arial"/>
        </w:rPr>
        <w:footnoteReference w:id="80"/>
      </w:r>
      <w:r w:rsidRPr="00743028">
        <w:rPr>
          <w:rFonts w:eastAsia="Arial" w:cs="Arial"/>
        </w:rPr>
        <w:t xml:space="preserve"> </w:t>
      </w:r>
    </w:p>
    <w:p w14:paraId="0E272995" w14:textId="56C29B75" w:rsidR="0039187A" w:rsidRPr="0074609D" w:rsidRDefault="0039187A" w:rsidP="0032546F">
      <w:pPr>
        <w:pStyle w:val="VLADocumentText"/>
        <w:rPr>
          <w:rFonts w:eastAsia="Arial"/>
        </w:rPr>
      </w:pPr>
      <w:r>
        <w:rPr>
          <w:rFonts w:eastAsia="Arial"/>
        </w:rPr>
        <w:t xml:space="preserve">The specialist children’s jurisdiction </w:t>
      </w:r>
      <w:r w:rsidRPr="0074609D">
        <w:rPr>
          <w:rFonts w:eastAsia="Arial"/>
        </w:rPr>
        <w:t xml:space="preserve">recognises that children and young people are different from adults and require responses which focus primarily on rehabilitation. </w:t>
      </w:r>
    </w:p>
    <w:p w14:paraId="348C88CD" w14:textId="66ECF8BF" w:rsidR="00D277D4" w:rsidRDefault="003F7895" w:rsidP="0032546F">
      <w:pPr>
        <w:pStyle w:val="VLADocumentText"/>
        <w:rPr>
          <w:rFonts w:eastAsia="Arial"/>
          <w:lang w:val="en"/>
        </w:rPr>
      </w:pPr>
      <w:r w:rsidRPr="00743028">
        <w:rPr>
          <w:rFonts w:eastAsia="Arial"/>
          <w:lang w:val="en"/>
        </w:rPr>
        <w:t xml:space="preserve">The intersection between </w:t>
      </w:r>
      <w:r w:rsidRPr="00A645B1">
        <w:rPr>
          <w:rFonts w:eastAsia="Arial"/>
          <w:lang w:val="en"/>
        </w:rPr>
        <w:t xml:space="preserve">the </w:t>
      </w:r>
      <w:r w:rsidRPr="00C62734">
        <w:rPr>
          <w:rFonts w:eastAsia="Arial"/>
          <w:lang w:val="en"/>
        </w:rPr>
        <w:t xml:space="preserve">Charter of Human Rights and Responsibilities </w:t>
      </w:r>
      <w:r w:rsidRPr="00A645B1">
        <w:rPr>
          <w:rFonts w:eastAsia="Arial"/>
          <w:lang w:val="en"/>
        </w:rPr>
        <w:t>and the</w:t>
      </w:r>
      <w:r w:rsidRPr="00743028">
        <w:rPr>
          <w:rFonts w:eastAsia="Arial"/>
          <w:lang w:val="en"/>
        </w:rPr>
        <w:t xml:space="preserve"> best interests of a child to have their criminal matter heard in the Children’s Court was considered in </w:t>
      </w:r>
      <w:r w:rsidRPr="00743028">
        <w:rPr>
          <w:rFonts w:eastAsia="Arial"/>
          <w:i/>
          <w:iCs/>
          <w:lang w:val="en"/>
        </w:rPr>
        <w:t>Baker</w:t>
      </w:r>
      <w:r w:rsidRPr="00743028">
        <w:rPr>
          <w:rFonts w:eastAsia="Arial"/>
          <w:lang w:val="en"/>
        </w:rPr>
        <w:t>.</w:t>
      </w:r>
      <w:r w:rsidR="00673D7D">
        <w:rPr>
          <w:rStyle w:val="FootnoteReference"/>
          <w:rFonts w:eastAsia="Arial"/>
          <w:lang w:val="en"/>
        </w:rPr>
        <w:footnoteReference w:id="81"/>
      </w:r>
      <w:r w:rsidRPr="00743028">
        <w:rPr>
          <w:rFonts w:eastAsia="Arial"/>
          <w:lang w:val="en"/>
        </w:rPr>
        <w:t xml:space="preserve"> </w:t>
      </w:r>
      <w:r w:rsidR="00673D7D">
        <w:rPr>
          <w:rFonts w:eastAsia="Arial"/>
          <w:lang w:val="en"/>
        </w:rPr>
        <w:t>T</w:t>
      </w:r>
      <w:r w:rsidRPr="00743028">
        <w:rPr>
          <w:rFonts w:eastAsia="Arial"/>
          <w:lang w:val="en"/>
        </w:rPr>
        <w:t xml:space="preserve">he </w:t>
      </w:r>
      <w:r w:rsidR="00673D7D">
        <w:rPr>
          <w:rFonts w:eastAsia="Arial"/>
          <w:lang w:val="en"/>
        </w:rPr>
        <w:t xml:space="preserve">child </w:t>
      </w:r>
      <w:r w:rsidRPr="00743028">
        <w:rPr>
          <w:rFonts w:eastAsia="Arial"/>
          <w:lang w:val="en"/>
        </w:rPr>
        <w:t xml:space="preserve">was </w:t>
      </w:r>
      <w:r w:rsidR="00673D7D">
        <w:rPr>
          <w:rFonts w:eastAsia="Arial"/>
          <w:lang w:val="en"/>
        </w:rPr>
        <w:t xml:space="preserve">aged 17 at the time of the </w:t>
      </w:r>
      <w:r w:rsidRPr="00743028">
        <w:rPr>
          <w:rFonts w:eastAsia="Arial"/>
          <w:lang w:val="en"/>
        </w:rPr>
        <w:t xml:space="preserve">alleged </w:t>
      </w:r>
      <w:r w:rsidR="00673D7D">
        <w:rPr>
          <w:rFonts w:eastAsia="Arial"/>
          <w:lang w:val="en"/>
        </w:rPr>
        <w:t xml:space="preserve">offending, which was </w:t>
      </w:r>
      <w:r w:rsidRPr="00743028">
        <w:rPr>
          <w:rFonts w:eastAsia="Arial"/>
          <w:lang w:val="en"/>
        </w:rPr>
        <w:t>sexual penetration of a</w:t>
      </w:r>
      <w:r w:rsidR="00673D7D">
        <w:rPr>
          <w:rFonts w:eastAsia="Arial"/>
          <w:lang w:val="en"/>
        </w:rPr>
        <w:t>nother</w:t>
      </w:r>
      <w:r w:rsidRPr="00743028">
        <w:rPr>
          <w:rFonts w:eastAsia="Arial"/>
          <w:lang w:val="en"/>
        </w:rPr>
        <w:t xml:space="preserve"> child under 16, knowingly possess child pornography and transmit child pornography. The </w:t>
      </w:r>
      <w:r w:rsidRPr="001570AF">
        <w:rPr>
          <w:rFonts w:eastAsia="Arial"/>
        </w:rPr>
        <w:t>accused</w:t>
      </w:r>
      <w:r w:rsidRPr="00743028">
        <w:rPr>
          <w:rFonts w:eastAsia="Arial"/>
          <w:lang w:val="en"/>
        </w:rPr>
        <w:t xml:space="preserve"> was not charged </w:t>
      </w:r>
      <w:r w:rsidR="00702CFC">
        <w:rPr>
          <w:rFonts w:eastAsia="Arial"/>
          <w:lang w:val="en"/>
        </w:rPr>
        <w:t>un</w:t>
      </w:r>
      <w:r w:rsidRPr="00743028">
        <w:rPr>
          <w:rFonts w:eastAsia="Arial"/>
          <w:lang w:val="en"/>
        </w:rPr>
        <w:t>til he was 19</w:t>
      </w:r>
      <w:r w:rsidR="00702CFC">
        <w:rPr>
          <w:rFonts w:eastAsia="Arial"/>
          <w:lang w:val="en"/>
        </w:rPr>
        <w:t>.</w:t>
      </w:r>
      <w:r w:rsidRPr="00743028">
        <w:rPr>
          <w:rFonts w:eastAsia="Arial"/>
          <w:lang w:val="en"/>
        </w:rPr>
        <w:t xml:space="preserve"> </w:t>
      </w:r>
      <w:r w:rsidR="00702CFC">
        <w:rPr>
          <w:rFonts w:eastAsia="Arial"/>
          <w:lang w:val="en"/>
        </w:rPr>
        <w:t>T</w:t>
      </w:r>
      <w:r w:rsidRPr="00743028">
        <w:rPr>
          <w:rFonts w:eastAsia="Arial"/>
          <w:lang w:val="en"/>
        </w:rPr>
        <w:t xml:space="preserve">his denied him the opportunity to have his charges dealt with by the Children’s Court. The </w:t>
      </w:r>
      <w:r w:rsidR="00D277D4">
        <w:rPr>
          <w:rFonts w:eastAsia="Arial"/>
          <w:lang w:val="en"/>
        </w:rPr>
        <w:t>Supreme C</w:t>
      </w:r>
      <w:r w:rsidRPr="00743028">
        <w:rPr>
          <w:rFonts w:eastAsia="Arial"/>
          <w:lang w:val="en"/>
        </w:rPr>
        <w:t>ourt agreed that Baker “was entitled to the protection of his best interest as a child in the form of access to the jurisdiction of the Children’s Court for the hearing of any future charges arising from the offending.”</w:t>
      </w:r>
      <w:r w:rsidRPr="003D4AF1">
        <w:rPr>
          <w:rFonts w:eastAsia="Arial"/>
          <w:vertAlign w:val="superscript"/>
          <w:lang w:val="en"/>
        </w:rPr>
        <w:footnoteReference w:id="82"/>
      </w:r>
      <w:r w:rsidR="00D277D4" w:rsidRPr="003D4AF1">
        <w:rPr>
          <w:rFonts w:eastAsia="Arial"/>
          <w:vertAlign w:val="superscript"/>
          <w:lang w:val="en"/>
        </w:rPr>
        <w:t xml:space="preserve"> </w:t>
      </w:r>
    </w:p>
    <w:p w14:paraId="4C04CE29" w14:textId="0E9B7009" w:rsidR="00A93E24" w:rsidRDefault="001570AF" w:rsidP="0032546F">
      <w:pPr>
        <w:pStyle w:val="VLADocumentText"/>
        <w:rPr>
          <w:rFonts w:eastAsia="Arial"/>
        </w:rPr>
      </w:pPr>
      <w:r w:rsidRPr="00C8300A">
        <w:t xml:space="preserve">It is important to note the specialist nature of the </w:t>
      </w:r>
      <w:r>
        <w:t>C</w:t>
      </w:r>
      <w:r w:rsidRPr="00C8300A">
        <w:t xml:space="preserve">hildren’s </w:t>
      </w:r>
      <w:r>
        <w:t>C</w:t>
      </w:r>
      <w:r w:rsidRPr="00C8300A">
        <w:t>ourt jurisdiction, and the training of the judicial officers and advocates who appear in that jurisdiction.</w:t>
      </w:r>
      <w:r w:rsidR="00D277D4">
        <w:t xml:space="preserve"> </w:t>
      </w:r>
      <w:r w:rsidR="003F7895" w:rsidRPr="0074609D">
        <w:rPr>
          <w:rFonts w:eastAsia="Arial"/>
        </w:rPr>
        <w:t>The Children’s Court has exercised the power to discharge or commit for trial since the court was first established in 1906.</w:t>
      </w:r>
      <w:r w:rsidR="00AC15E4">
        <w:rPr>
          <w:rStyle w:val="FootnoteReference"/>
          <w:rFonts w:eastAsia="Arial" w:cs="Arial"/>
        </w:rPr>
        <w:footnoteReference w:id="83"/>
      </w:r>
      <w:r w:rsidR="003F7895" w:rsidRPr="0074609D">
        <w:rPr>
          <w:rFonts w:eastAsia="Arial"/>
        </w:rPr>
        <w:t xml:space="preserve"> If the Court decides that the charges are unsuitable to be determined summarily or the young person charged chooses to have the charges dealt with by a higher court, then a committal proceeding must be held. For the purpose of proceedings in the criminal division, a </w:t>
      </w:r>
      <w:r w:rsidR="003F7895" w:rsidRPr="0074609D">
        <w:rPr>
          <w:rFonts w:eastAsia="Arial"/>
        </w:rPr>
        <w:lastRenderedPageBreak/>
        <w:t>child is defined</w:t>
      </w:r>
      <w:r w:rsidR="003117CD">
        <w:rPr>
          <w:rFonts w:eastAsia="Arial"/>
        </w:rPr>
        <w:t xml:space="preserve"> </w:t>
      </w:r>
      <w:r w:rsidR="003F7895" w:rsidRPr="0074609D">
        <w:rPr>
          <w:rFonts w:eastAsia="Arial"/>
        </w:rPr>
        <w:t>as a person who is above 10 years of age but under 18. This does not include a person who is of or above the age of 19 years when a proceeding for the offence is commenced in the Court.</w:t>
      </w:r>
    </w:p>
    <w:p w14:paraId="64F2BF17" w14:textId="11D6475D" w:rsidR="00192412" w:rsidRDefault="7E3E12A9" w:rsidP="0032546F">
      <w:pPr>
        <w:pStyle w:val="VLADocumentText"/>
        <w:rPr>
          <w:szCs w:val="22"/>
        </w:rPr>
      </w:pPr>
      <w:r w:rsidRPr="0074609D">
        <w:rPr>
          <w:rFonts w:eastAsia="Arial"/>
        </w:rPr>
        <w:t xml:space="preserve">The specialist nature of the Children’s Court jurisdiction, and the reason why committals should remain in that Court, is best highlighted through the extensive common law on applications to ‘uplift’ matters from the Children’s Court to the higher jurisdictions. </w:t>
      </w:r>
      <w:r w:rsidR="00192412">
        <w:rPr>
          <w:lang w:eastAsia="en-AU"/>
        </w:rPr>
        <w:t xml:space="preserve">Extensive case law articulates the specialist nature of the Children’s Court jurisdiction. </w:t>
      </w:r>
      <w:r w:rsidR="00192412">
        <w:t xml:space="preserve">In </w:t>
      </w:r>
      <w:r w:rsidR="00192412">
        <w:rPr>
          <w:i/>
          <w:iCs/>
        </w:rPr>
        <w:t>DL (a minor by his litigation guardian) v A Magistrate of the Children's Court &amp; Others</w:t>
      </w:r>
      <w:r w:rsidR="00192412">
        <w:t xml:space="preserve">, Justice Vincent of the Supreme Court held: </w:t>
      </w:r>
    </w:p>
    <w:p w14:paraId="4F99C406" w14:textId="315E40EA" w:rsidR="00192412" w:rsidRDefault="00192412" w:rsidP="00192412">
      <w:pPr>
        <w:spacing w:before="120"/>
        <w:ind w:left="567"/>
        <w:rPr>
          <w:rFonts w:cs="Arial"/>
          <w:sz w:val="21"/>
          <w:szCs w:val="21"/>
        </w:rPr>
      </w:pPr>
      <w:r>
        <w:rPr>
          <w:rFonts w:cs="Arial"/>
          <w:sz w:val="21"/>
          <w:szCs w:val="21"/>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cs="Arial"/>
          <w:i/>
          <w:iCs/>
          <w:sz w:val="21"/>
          <w:szCs w:val="21"/>
        </w:rPr>
        <w:t>very special, unusual, or exceptional</w:t>
      </w:r>
      <w:r>
        <w:rPr>
          <w:rFonts w:cs="Arial"/>
          <w:sz w:val="21"/>
          <w:szCs w:val="21"/>
        </w:rPr>
        <w:t>, circumstances exist of a kind which render unsuitable the determination of a case in the jurisdiction specifically established with this difference in mind, that the matter should be removed from that jurisdiction to the adult courts.</w:t>
      </w:r>
      <w:r w:rsidR="005C601C">
        <w:rPr>
          <w:rStyle w:val="FootnoteReference"/>
          <w:rFonts w:cs="Arial"/>
          <w:szCs w:val="21"/>
        </w:rPr>
        <w:footnoteReference w:id="84"/>
      </w:r>
      <w:r>
        <w:rPr>
          <w:rFonts w:cs="Arial"/>
          <w:sz w:val="21"/>
          <w:szCs w:val="21"/>
        </w:rPr>
        <w:t xml:space="preserve"> </w:t>
      </w:r>
    </w:p>
    <w:p w14:paraId="5901FEE2" w14:textId="2E30E2D1" w:rsidR="00192412" w:rsidRDefault="00192412" w:rsidP="0032546F">
      <w:pPr>
        <w:pStyle w:val="VLADocumentText"/>
        <w:rPr>
          <w:szCs w:val="22"/>
        </w:rPr>
      </w:pPr>
      <w:r>
        <w:t xml:space="preserve">In </w:t>
      </w:r>
      <w:r w:rsidRPr="003B4389">
        <w:rPr>
          <w:i/>
        </w:rPr>
        <w:t>A Child v A Magistrate of the Children's Court</w:t>
      </w:r>
      <w:r>
        <w:t>, Justice Cummins of the Supreme Court stated: “[I]t is plain that the protective and therapeutic character of the Children's Court jurisdiction is markedly different from that of adult courts."</w:t>
      </w:r>
      <w:r w:rsidR="00863330">
        <w:rPr>
          <w:rStyle w:val="FootnoteReference"/>
        </w:rPr>
        <w:footnoteReference w:id="85"/>
      </w:r>
      <w:r>
        <w:rPr>
          <w:color w:val="000000"/>
        </w:rPr>
        <w:t xml:space="preserve"> In </w:t>
      </w:r>
      <w:r w:rsidRPr="003B4389">
        <w:rPr>
          <w:i/>
          <w:color w:val="000000"/>
        </w:rPr>
        <w:t>DPP v Michael Anderson</w:t>
      </w:r>
      <w:r>
        <w:rPr>
          <w:color w:val="000000"/>
        </w:rPr>
        <w:t xml:space="preserve"> the court held:</w:t>
      </w:r>
    </w:p>
    <w:p w14:paraId="3C9C02BD" w14:textId="407CA10A" w:rsidR="00192412" w:rsidRDefault="00192412" w:rsidP="00192412">
      <w:pPr>
        <w:spacing w:before="120"/>
        <w:ind w:left="567"/>
        <w:rPr>
          <w:rFonts w:cs="Arial"/>
          <w:i/>
          <w:iCs/>
          <w:sz w:val="21"/>
          <w:szCs w:val="21"/>
        </w:rPr>
      </w:pPr>
      <w:r>
        <w:rPr>
          <w:rFonts w:cs="Arial"/>
          <w:sz w:val="21"/>
          <w:szCs w:val="21"/>
        </w:rPr>
        <w:t>It is clear that the Children’s Court should only relinquish its jurisdiction with great reluctance. It is a specialist jurisdiction with a specialist approach to the criminality of children and young persons under the age of 18 years.</w:t>
      </w:r>
      <w:r w:rsidR="004B1C7C">
        <w:rPr>
          <w:rStyle w:val="FootnoteReference"/>
          <w:rFonts w:cs="Arial"/>
          <w:szCs w:val="21"/>
        </w:rPr>
        <w:footnoteReference w:id="86"/>
      </w:r>
    </w:p>
    <w:p w14:paraId="4821CFF2" w14:textId="77FAE335" w:rsidR="00192412" w:rsidRDefault="00192412" w:rsidP="0032546F">
      <w:pPr>
        <w:pStyle w:val="VLADocumentText"/>
        <w:rPr>
          <w:szCs w:val="22"/>
        </w:rPr>
      </w:pPr>
      <w:r>
        <w:t xml:space="preserve">In </w:t>
      </w:r>
      <w:r w:rsidRPr="003B4389">
        <w:rPr>
          <w:i/>
        </w:rPr>
        <w:t>D (a Child) v White</w:t>
      </w:r>
      <w:r>
        <w:t xml:space="preserve"> the Supreme Court considered the test of 'special reason' rather than 'exceptional circumstances' as a basis for the Court refusing summary jurisdiction under s15(3) of the then </w:t>
      </w:r>
      <w:r w:rsidRPr="003B4389">
        <w:rPr>
          <w:i/>
        </w:rPr>
        <w:t>Children's Court Act 1973</w:t>
      </w:r>
      <w:r>
        <w:t xml:space="preserve"> (Vic).</w:t>
      </w:r>
      <w:r>
        <w:rPr>
          <w:sz w:val="18"/>
          <w:szCs w:val="18"/>
          <w:vertAlign w:val="superscript"/>
        </w:rPr>
        <w:t xml:space="preserve"> </w:t>
      </w:r>
      <w:r w:rsidR="004B1C7C">
        <w:rPr>
          <w:rStyle w:val="FootnoteReference"/>
          <w:szCs w:val="18"/>
        </w:rPr>
        <w:footnoteReference w:id="87"/>
      </w:r>
      <w:r w:rsidR="007E628B">
        <w:rPr>
          <w:sz w:val="18"/>
          <w:szCs w:val="18"/>
          <w:vertAlign w:val="superscript"/>
        </w:rPr>
        <w:t xml:space="preserve"> </w:t>
      </w:r>
      <w:r>
        <w:t xml:space="preserve">Justice Nathan held: </w:t>
      </w:r>
    </w:p>
    <w:p w14:paraId="54335519" w14:textId="66467EF4" w:rsidR="00192412" w:rsidRDefault="00192412" w:rsidP="00192412">
      <w:pPr>
        <w:spacing w:before="120"/>
        <w:ind w:left="567"/>
        <w:rPr>
          <w:rFonts w:cs="Arial"/>
          <w:sz w:val="21"/>
          <w:szCs w:val="21"/>
        </w:rPr>
      </w:pPr>
      <w:r>
        <w:rPr>
          <w:rFonts w:cs="Arial"/>
          <w:sz w:val="21"/>
          <w:szCs w:val="21"/>
        </w:rPr>
        <w:t>As the Act invests the Court with embracive jurisdiction in respect of children it should only be relinquished reluctantly. The reason to do so must be special; not matters of convenience or to avoid difficulties. … The power should be exercised sparingly and reasons for doing so given. The overall administration of justice is the most important criterion. That is justice as it affects the community as well as the individual.</w:t>
      </w:r>
      <w:r w:rsidR="009552DE">
        <w:rPr>
          <w:rStyle w:val="FootnoteReference"/>
          <w:rFonts w:cs="Arial"/>
          <w:szCs w:val="21"/>
        </w:rPr>
        <w:footnoteReference w:id="88"/>
      </w:r>
    </w:p>
    <w:p w14:paraId="714AAB38" w14:textId="7C25C908" w:rsidR="00313B9E" w:rsidRDefault="67A24E00" w:rsidP="0032546F">
      <w:pPr>
        <w:pStyle w:val="VLADocumentText"/>
        <w:rPr>
          <w:rFonts w:eastAsia="Arial"/>
        </w:rPr>
      </w:pPr>
      <w:r w:rsidRPr="0074609D">
        <w:rPr>
          <w:rFonts w:eastAsia="Arial"/>
        </w:rPr>
        <w:t>A regional VLA practitioner, holding accredited specialisation in Children’s Law provides the following insight</w:t>
      </w:r>
      <w:r w:rsidR="00313B9E">
        <w:rPr>
          <w:rFonts w:eastAsia="Arial"/>
        </w:rPr>
        <w:t>:</w:t>
      </w:r>
      <w:r w:rsidRPr="0074609D">
        <w:rPr>
          <w:rFonts w:eastAsia="Arial"/>
        </w:rPr>
        <w:t xml:space="preserve"> </w:t>
      </w:r>
    </w:p>
    <w:p w14:paraId="30BB124E" w14:textId="24796256" w:rsidR="7E3E12A9" w:rsidRDefault="006136CA" w:rsidP="00313B9E">
      <w:pPr>
        <w:pStyle w:val="VLAquotation"/>
      </w:pPr>
      <w:r>
        <w:rPr>
          <w:rFonts w:eastAsia="Arial" w:cs="Arial"/>
        </w:rPr>
        <w:t>[</w:t>
      </w:r>
      <w:r w:rsidR="67A24E00" w:rsidRPr="0074609D">
        <w:rPr>
          <w:rFonts w:eastAsia="Arial" w:cs="Arial"/>
        </w:rPr>
        <w:t>t</w:t>
      </w:r>
      <w:r>
        <w:rPr>
          <w:rFonts w:eastAsia="Arial" w:cs="Arial"/>
        </w:rPr>
        <w:t>]</w:t>
      </w:r>
      <w:r w:rsidR="67A24E00" w:rsidRPr="0074609D">
        <w:rPr>
          <w:rFonts w:eastAsia="Arial" w:cs="Arial"/>
        </w:rPr>
        <w:t>he Children’s Court jurisdiction is a constant reminder to all of the parties of the status of the accused as children, the different issues to be considered for children accessing the criminal justice system, and the fact that there needs to be constant consideration and re-evaluation of the way the committal must be conducted to ensure the process is fair for the child accused.</w:t>
      </w:r>
      <w:r w:rsidR="003117CD">
        <w:rPr>
          <w:rFonts w:eastAsia="Arial" w:cs="Arial"/>
        </w:rPr>
        <w:t xml:space="preserve"> </w:t>
      </w:r>
    </w:p>
    <w:p w14:paraId="62E06E02" w14:textId="77777777" w:rsidR="007C0FE7" w:rsidRDefault="055A0AF2" w:rsidP="007C0FE7">
      <w:pPr>
        <w:pStyle w:val="VLADocumentText"/>
      </w:pPr>
      <w:r w:rsidRPr="00351E4B">
        <w:rPr>
          <w:rFonts w:eastAsia="Arial"/>
        </w:rPr>
        <w:lastRenderedPageBreak/>
        <w:t xml:space="preserve">The changes in 2018 to the </w:t>
      </w:r>
      <w:r w:rsidRPr="004511CB">
        <w:rPr>
          <w:rFonts w:eastAsia="Arial"/>
          <w:i/>
        </w:rPr>
        <w:t>Chi</w:t>
      </w:r>
      <w:r w:rsidRPr="007F2F0B">
        <w:rPr>
          <w:rFonts w:eastAsia="Arial"/>
          <w:i/>
        </w:rPr>
        <w:t>ldren, Youth and Families Act 2005</w:t>
      </w:r>
      <w:r w:rsidRPr="0032437C">
        <w:rPr>
          <w:rFonts w:eastAsia="Arial"/>
        </w:rPr>
        <w:t xml:space="preserve"> (Vic) (CYFA) have created a presumption in favour of uplift to the adult jurisdiction, this makes it imperative that committals be retained in the children’s jurisdiction. </w:t>
      </w:r>
      <w:r w:rsidRPr="0074609D">
        <w:rPr>
          <w:rFonts w:eastAsia="Arial" w:cs="Arial"/>
        </w:rPr>
        <w:t>The amendments introduced two categories of offence:</w:t>
      </w:r>
    </w:p>
    <w:p w14:paraId="71B76F55" w14:textId="0E4DE19D" w:rsidR="003F7895" w:rsidRDefault="055A0AF2" w:rsidP="7360A190">
      <w:pPr>
        <w:pStyle w:val="ListParagraph"/>
        <w:numPr>
          <w:ilvl w:val="0"/>
          <w:numId w:val="26"/>
        </w:numPr>
        <w:jc w:val="both"/>
        <w:rPr>
          <w:color w:val="000000" w:themeColor="text1"/>
        </w:rPr>
      </w:pPr>
      <w:r w:rsidRPr="0074609D">
        <w:rPr>
          <w:color w:val="000000" w:themeColor="text1"/>
        </w:rPr>
        <w:t>Category A serious youth offences—if an accused child is aged 16 or over at the time of the offence, it is presumed that these cases will be determined in a higher court.</w:t>
      </w:r>
    </w:p>
    <w:p w14:paraId="3FFE20A6" w14:textId="014A593A" w:rsidR="003F7895" w:rsidRPr="0074609D" w:rsidRDefault="055A0AF2" w:rsidP="0074609D">
      <w:pPr>
        <w:pStyle w:val="ListParagraph"/>
        <w:numPr>
          <w:ilvl w:val="0"/>
          <w:numId w:val="26"/>
        </w:numPr>
        <w:jc w:val="both"/>
        <w:rPr>
          <w:color w:val="000000" w:themeColor="text1"/>
        </w:rPr>
      </w:pPr>
      <w:r w:rsidRPr="0074609D">
        <w:rPr>
          <w:rFonts w:eastAsia="Arial" w:cs="Arial"/>
          <w:color w:val="000000" w:themeColor="text1"/>
        </w:rPr>
        <w:t xml:space="preserve">Category B serious youth offences—if an accused child is aged 16 or over at the time of the offence, the Children’s Court must consider whether the charge is suitable to be heard and determined summarily before proceeding. </w:t>
      </w:r>
    </w:p>
    <w:p w14:paraId="43C83D14" w14:textId="4689327D" w:rsidR="00E4358E" w:rsidRDefault="055A0AF2" w:rsidP="007C0FE7">
      <w:pPr>
        <w:pStyle w:val="VLADocumentText"/>
        <w:rPr>
          <w:rFonts w:eastAsia="Arial"/>
        </w:rPr>
      </w:pPr>
      <w:r w:rsidRPr="0074609D">
        <w:rPr>
          <w:rFonts w:eastAsia="Arial"/>
        </w:rPr>
        <w:t xml:space="preserve">Prior to the 2018 amendments, uplift applications could be made, but it was uncommon for the Court to find that a charge should be dealt with in a superior court. The </w:t>
      </w:r>
      <w:r w:rsidR="00F840E8">
        <w:rPr>
          <w:rFonts w:eastAsia="Arial"/>
        </w:rPr>
        <w:t>I</w:t>
      </w:r>
      <w:r w:rsidRPr="0074609D">
        <w:rPr>
          <w:rFonts w:eastAsia="Arial"/>
        </w:rPr>
        <w:t xml:space="preserve">ssues </w:t>
      </w:r>
      <w:r w:rsidR="00F840E8">
        <w:rPr>
          <w:rFonts w:eastAsia="Arial"/>
        </w:rPr>
        <w:t>P</w:t>
      </w:r>
      <w:r w:rsidRPr="0074609D">
        <w:rPr>
          <w:rFonts w:eastAsia="Arial"/>
        </w:rPr>
        <w:t>aper notes that following the 2018 CYFA amendments, there has been a two-fold increase in the number of initiations in the Children’s Court committal stream.</w:t>
      </w:r>
      <w:r w:rsidR="003117CD">
        <w:rPr>
          <w:rFonts w:eastAsia="Arial"/>
        </w:rPr>
        <w:t xml:space="preserve"> </w:t>
      </w:r>
    </w:p>
    <w:p w14:paraId="75F13F8C" w14:textId="77777777" w:rsidR="007C0FE7" w:rsidRPr="007C0FE7" w:rsidRDefault="007C0FE7" w:rsidP="007C0FE7">
      <w:pPr>
        <w:rPr>
          <w:rFonts w:eastAsia="Arial"/>
        </w:rPr>
      </w:pPr>
    </w:p>
    <w:tbl>
      <w:tblPr>
        <w:tblStyle w:val="TableGrid"/>
        <w:tblW w:w="8647" w:type="dxa"/>
        <w:tblInd w:w="279" w:type="dxa"/>
        <w:tblLayout w:type="fixed"/>
        <w:tblLook w:val="06A0" w:firstRow="1" w:lastRow="0" w:firstColumn="1" w:lastColumn="0" w:noHBand="1" w:noVBand="1"/>
      </w:tblPr>
      <w:tblGrid>
        <w:gridCol w:w="8647"/>
      </w:tblGrid>
      <w:tr w:rsidR="0032546F" w14:paraId="2EC85C9B" w14:textId="77777777" w:rsidTr="00F27015">
        <w:trPr>
          <w:trHeight w:val="5914"/>
        </w:trPr>
        <w:tc>
          <w:tcPr>
            <w:tcW w:w="8647" w:type="dxa"/>
          </w:tcPr>
          <w:p w14:paraId="6CCCB5FB" w14:textId="5FE5B642" w:rsidR="0032546F" w:rsidRDefault="0032546F" w:rsidP="008D1B06">
            <w:pPr>
              <w:pStyle w:val="VLAclientexampletitle"/>
              <w:keepNext w:val="0"/>
            </w:pPr>
            <w:r w:rsidRPr="003D4AF1">
              <w:t>Charlie</w:t>
            </w:r>
            <w:r w:rsidR="0088316D" w:rsidRPr="003D4AF1">
              <w:t xml:space="preserve"> – Importance of </w:t>
            </w:r>
            <w:r w:rsidR="004471BA" w:rsidRPr="008B6E22">
              <w:t xml:space="preserve">dedicated </w:t>
            </w:r>
            <w:r w:rsidR="0088316D" w:rsidRPr="00B40571">
              <w:t>committal processes in the Children’s Court</w:t>
            </w:r>
          </w:p>
          <w:p w14:paraId="046E40B8" w14:textId="19B21E2D" w:rsidR="0032546F" w:rsidRPr="0038472D" w:rsidRDefault="0032546F" w:rsidP="008D1B06">
            <w:pPr>
              <w:pStyle w:val="VLAclientexample"/>
            </w:pPr>
            <w:r w:rsidRPr="0074609D">
              <w:rPr>
                <w:rFonts w:eastAsia="Arial"/>
              </w:rPr>
              <w:t xml:space="preserve">Charlie* </w:t>
            </w:r>
            <w:r>
              <w:rPr>
                <w:rFonts w:eastAsia="Arial"/>
              </w:rPr>
              <w:t xml:space="preserve">is </w:t>
            </w:r>
            <w:r w:rsidRPr="0074609D">
              <w:rPr>
                <w:rFonts w:eastAsia="Arial"/>
              </w:rPr>
              <w:t xml:space="preserve">a young person </w:t>
            </w:r>
            <w:r>
              <w:rPr>
                <w:rFonts w:eastAsia="Arial"/>
              </w:rPr>
              <w:t xml:space="preserve">who </w:t>
            </w:r>
            <w:r w:rsidRPr="0074609D">
              <w:rPr>
                <w:rFonts w:eastAsia="Arial"/>
              </w:rPr>
              <w:t xml:space="preserve">was charged with aggravated home invasion. Given his age he was in </w:t>
            </w:r>
            <w:r>
              <w:rPr>
                <w:rFonts w:eastAsia="Arial"/>
              </w:rPr>
              <w:t xml:space="preserve">the </w:t>
            </w:r>
            <w:r w:rsidRPr="0074609D">
              <w:rPr>
                <w:rFonts w:eastAsia="Arial"/>
              </w:rPr>
              <w:t>category</w:t>
            </w:r>
            <w:r>
              <w:rPr>
                <w:rFonts w:eastAsia="Arial"/>
              </w:rPr>
              <w:t xml:space="preserve"> of offenders who are presumed to be heard in the adult jurisdiction</w:t>
            </w:r>
            <w:r w:rsidRPr="0074609D">
              <w:rPr>
                <w:rFonts w:eastAsia="Arial"/>
              </w:rPr>
              <w:t xml:space="preserve">. Upon defence analysis of evidence it appeared the </w:t>
            </w:r>
            <w:r w:rsidRPr="0038472D">
              <w:rPr>
                <w:rFonts w:eastAsia="Arial"/>
              </w:rPr>
              <w:t>evidence to support the charge was weak. However, OPP would not consider any withdrawals. The matter proceeded to committal with informant and the complainant. The narrow issue upon which the complainant was cross-examined was identification. The</w:t>
            </w:r>
            <w:r w:rsidR="00F235A9">
              <w:rPr>
                <w:rFonts w:eastAsia="Arial"/>
              </w:rPr>
              <w:t xml:space="preserve"> m</w:t>
            </w:r>
            <w:r w:rsidRPr="0038472D">
              <w:rPr>
                <w:rFonts w:eastAsia="Arial"/>
              </w:rPr>
              <w:t>agistrate who heard the committal found that there was no evidence to substantiate the charge of aggravated home invasion and therefore the charge was dismissed. The OPP subsequently handed over the prosecution to Victoria Police who withdrew all other charges. The client was originally remanded on the charges</w:t>
            </w:r>
            <w:r w:rsidR="007E628B">
              <w:rPr>
                <w:rFonts w:eastAsia="Arial"/>
              </w:rPr>
              <w:t>,</w:t>
            </w:r>
            <w:r w:rsidRPr="0038472D">
              <w:rPr>
                <w:rFonts w:eastAsia="Arial"/>
              </w:rPr>
              <w:t xml:space="preserve"> however was granted bail after a month. </w:t>
            </w:r>
          </w:p>
          <w:p w14:paraId="121FD2C7" w14:textId="122A55C2" w:rsidR="0032546F" w:rsidRDefault="0032546F" w:rsidP="008D1B06">
            <w:pPr>
              <w:pStyle w:val="VLAclientexample"/>
              <w:rPr>
                <w:rFonts w:eastAsia="Arial"/>
              </w:rPr>
            </w:pPr>
            <w:r w:rsidRPr="0038472D">
              <w:rPr>
                <w:rFonts w:eastAsia="Arial"/>
              </w:rPr>
              <w:t xml:space="preserve">If </w:t>
            </w:r>
            <w:r w:rsidR="003B74A5">
              <w:rPr>
                <w:rFonts w:eastAsia="Arial"/>
              </w:rPr>
              <w:t>Charlie</w:t>
            </w:r>
            <w:r w:rsidRPr="0038472D">
              <w:rPr>
                <w:rFonts w:eastAsia="Arial"/>
              </w:rPr>
              <w:t xml:space="preserve"> had been automatically committed to the County Court</w:t>
            </w:r>
            <w:r w:rsidR="001D6FC1">
              <w:rPr>
                <w:rFonts w:eastAsia="Arial"/>
              </w:rPr>
              <w:t>,</w:t>
            </w:r>
            <w:r w:rsidRPr="0038472D">
              <w:rPr>
                <w:rFonts w:eastAsia="Arial"/>
              </w:rPr>
              <w:t xml:space="preserve"> </w:t>
            </w:r>
            <w:r w:rsidR="00093B2E">
              <w:rPr>
                <w:rFonts w:eastAsia="Arial"/>
              </w:rPr>
              <w:t>he</w:t>
            </w:r>
            <w:r w:rsidRPr="0038472D">
              <w:rPr>
                <w:rFonts w:eastAsia="Arial"/>
              </w:rPr>
              <w:t xml:space="preserve"> would have had significantly longer than 3-4 months between committal mention and committal / committal and trial. Having committals in the specialist jurisdiction of the Children’s Court also meant the proceedings were dedicated to meeting the needs of the young person</w:t>
            </w:r>
            <w:r w:rsidRPr="0032546F">
              <w:rPr>
                <w:rFonts w:eastAsia="Arial"/>
              </w:rPr>
              <w:t xml:space="preserve"> facing indictable charges</w:t>
            </w:r>
            <w:r w:rsidRPr="179F5C4D">
              <w:rPr>
                <w:rFonts w:eastAsia="Arial"/>
              </w:rPr>
              <w:t xml:space="preserve">. </w:t>
            </w:r>
          </w:p>
          <w:p w14:paraId="0331D4F5" w14:textId="77777777" w:rsidR="0038472D" w:rsidRDefault="0038472D" w:rsidP="008D1B06">
            <w:pPr>
              <w:pStyle w:val="VLAclientexample"/>
            </w:pPr>
          </w:p>
          <w:p w14:paraId="69E5C520" w14:textId="77777777" w:rsidR="0032546F" w:rsidRPr="0074609D" w:rsidRDefault="0032546F" w:rsidP="008D1B06">
            <w:pPr>
              <w:pStyle w:val="VLAclientexample"/>
              <w:rPr>
                <w:rFonts w:eastAsia="Arial" w:cs="Arial"/>
              </w:rPr>
            </w:pPr>
            <w:r w:rsidRPr="179F5C4D">
              <w:rPr>
                <w:rFonts w:eastAsia="Arial"/>
              </w:rPr>
              <w:t xml:space="preserve">*Client of a Panel firm, not his real name. </w:t>
            </w:r>
          </w:p>
        </w:tc>
      </w:tr>
    </w:tbl>
    <w:p w14:paraId="10FD545D" w14:textId="77777777" w:rsidR="0032546F" w:rsidRDefault="0032546F" w:rsidP="007C0FE7">
      <w:pPr>
        <w:rPr>
          <w:rFonts w:eastAsia="Arial"/>
        </w:rPr>
      </w:pPr>
    </w:p>
    <w:p w14:paraId="2C49F823" w14:textId="56E3702C" w:rsidR="003F7895" w:rsidRPr="0074609D" w:rsidRDefault="055A0AF2" w:rsidP="006F1640">
      <w:pPr>
        <w:pStyle w:val="VLADocumentText"/>
        <w:rPr>
          <w:rFonts w:eastAsia="Arial"/>
        </w:rPr>
      </w:pPr>
      <w:r w:rsidRPr="0074609D">
        <w:rPr>
          <w:rFonts w:eastAsia="Arial"/>
        </w:rPr>
        <w:t xml:space="preserve">It does not follow that the increase in committals is evidence of the need to abolish committals in the Children’s Court. </w:t>
      </w:r>
      <w:r w:rsidR="009B5122">
        <w:rPr>
          <w:rFonts w:eastAsia="Arial"/>
        </w:rPr>
        <w:t xml:space="preserve">Although </w:t>
      </w:r>
      <w:r w:rsidR="0039187A" w:rsidRPr="0074609D">
        <w:rPr>
          <w:rFonts w:eastAsia="Arial"/>
        </w:rPr>
        <w:t xml:space="preserve">the </w:t>
      </w:r>
      <w:r w:rsidR="009B5122">
        <w:rPr>
          <w:rFonts w:eastAsia="Arial"/>
        </w:rPr>
        <w:t>implementation of</w:t>
      </w:r>
      <w:r w:rsidR="0039187A" w:rsidRPr="0074609D">
        <w:rPr>
          <w:rFonts w:eastAsia="Arial"/>
        </w:rPr>
        <w:t xml:space="preserve"> changes in </w:t>
      </w:r>
      <w:r w:rsidR="0039187A" w:rsidRPr="0039187A">
        <w:rPr>
          <w:rFonts w:eastAsia="Arial"/>
        </w:rPr>
        <w:t>2018</w:t>
      </w:r>
      <w:r w:rsidR="0039187A" w:rsidRPr="0074609D">
        <w:rPr>
          <w:rFonts w:eastAsia="Arial"/>
        </w:rPr>
        <w:t xml:space="preserve"> has contributed to some delay, this does not </w:t>
      </w:r>
      <w:r w:rsidR="006F69C8">
        <w:rPr>
          <w:rFonts w:eastAsia="Arial"/>
        </w:rPr>
        <w:t>provide a rationale for</w:t>
      </w:r>
      <w:r w:rsidR="006F69C8" w:rsidRPr="0074609D">
        <w:rPr>
          <w:rFonts w:eastAsia="Arial"/>
        </w:rPr>
        <w:t xml:space="preserve"> </w:t>
      </w:r>
      <w:r w:rsidR="0039187A" w:rsidRPr="0074609D">
        <w:rPr>
          <w:rFonts w:eastAsia="Arial"/>
        </w:rPr>
        <w:t xml:space="preserve">dismantling the framework. </w:t>
      </w:r>
      <w:r w:rsidR="0039187A">
        <w:rPr>
          <w:rFonts w:eastAsia="Arial"/>
        </w:rPr>
        <w:t>Removing</w:t>
      </w:r>
      <w:r w:rsidR="76AA18BE" w:rsidRPr="0074609D">
        <w:rPr>
          <w:rFonts w:eastAsia="Arial"/>
        </w:rPr>
        <w:t xml:space="preserve"> committals in the </w:t>
      </w:r>
      <w:r w:rsidR="0039187A">
        <w:rPr>
          <w:rFonts w:eastAsia="Arial"/>
        </w:rPr>
        <w:t>c</w:t>
      </w:r>
      <w:r w:rsidR="76AA18BE" w:rsidRPr="0074609D">
        <w:rPr>
          <w:rFonts w:eastAsia="Arial"/>
        </w:rPr>
        <w:t xml:space="preserve">hildren’s </w:t>
      </w:r>
      <w:r w:rsidR="0039187A">
        <w:rPr>
          <w:rFonts w:eastAsia="Arial"/>
        </w:rPr>
        <w:t xml:space="preserve">jurisdiction </w:t>
      </w:r>
      <w:r w:rsidR="76AA18BE" w:rsidRPr="0074609D">
        <w:rPr>
          <w:rFonts w:eastAsia="Arial"/>
        </w:rPr>
        <w:t xml:space="preserve">will </w:t>
      </w:r>
      <w:r w:rsidR="2EB6E87E" w:rsidRPr="0074609D">
        <w:rPr>
          <w:rFonts w:eastAsia="Arial"/>
        </w:rPr>
        <w:t xml:space="preserve">undermine the longstanding specialist framework under the CYFA, which has been designed to respond to criminal offending by children and young people. </w:t>
      </w:r>
      <w:r w:rsidR="0039187A" w:rsidRPr="0074609D">
        <w:rPr>
          <w:rFonts w:eastAsia="Arial"/>
        </w:rPr>
        <w:t>It demands more effort and rehabilitative innovation, to secure a reduction in harm and recidivism for these young people who will almost certainly re-enter the community.</w:t>
      </w:r>
    </w:p>
    <w:p w14:paraId="17D61588" w14:textId="601DE587" w:rsidR="000040E9" w:rsidRDefault="0039187A" w:rsidP="006F1640">
      <w:pPr>
        <w:pStyle w:val="VLADocumentText"/>
        <w:rPr>
          <w:rFonts w:eastAsia="Arial"/>
        </w:rPr>
      </w:pPr>
      <w:r>
        <w:rPr>
          <w:rFonts w:eastAsia="Arial"/>
        </w:rPr>
        <w:t>T</w:t>
      </w:r>
      <w:r w:rsidR="74405B92" w:rsidRPr="0074609D">
        <w:rPr>
          <w:rFonts w:eastAsia="Arial"/>
        </w:rPr>
        <w:t xml:space="preserve">o address issues of delays we </w:t>
      </w:r>
      <w:r w:rsidR="00E13BCF">
        <w:rPr>
          <w:rFonts w:eastAsia="Arial"/>
        </w:rPr>
        <w:t xml:space="preserve">suggest </w:t>
      </w:r>
      <w:r w:rsidR="5031CB80" w:rsidRPr="0074609D">
        <w:rPr>
          <w:rFonts w:eastAsia="Arial"/>
        </w:rPr>
        <w:t>that there be shorter timeframes for the service of the hand up brief and shorter periods to committal mention. Presently, the adult time frames have been imposed on the Childre</w:t>
      </w:r>
      <w:r w:rsidR="3388F7E0" w:rsidRPr="0074609D">
        <w:rPr>
          <w:rFonts w:eastAsia="Arial"/>
        </w:rPr>
        <w:t>n'</w:t>
      </w:r>
      <w:r w:rsidR="5031CB80" w:rsidRPr="0074609D">
        <w:rPr>
          <w:rFonts w:eastAsia="Arial"/>
        </w:rPr>
        <w:t>s Cour</w:t>
      </w:r>
      <w:r w:rsidR="3388F7E0" w:rsidRPr="0074609D">
        <w:rPr>
          <w:rFonts w:eastAsia="Arial"/>
        </w:rPr>
        <w:t>t</w:t>
      </w:r>
      <w:r w:rsidR="00E13BCF">
        <w:rPr>
          <w:rFonts w:eastAsia="Arial"/>
        </w:rPr>
        <w:t>:</w:t>
      </w:r>
      <w:r w:rsidR="3388F7E0" w:rsidRPr="0074609D">
        <w:rPr>
          <w:rFonts w:eastAsia="Arial"/>
        </w:rPr>
        <w:t xml:space="preserve"> 6 weeks to service of hand-up brief and 6 weeks to committal.</w:t>
      </w:r>
      <w:r w:rsidR="5031CB80" w:rsidRPr="0074609D">
        <w:rPr>
          <w:rFonts w:eastAsia="Arial"/>
        </w:rPr>
        <w:t xml:space="preserve"> </w:t>
      </w:r>
      <w:r w:rsidR="1C64960A" w:rsidRPr="0074609D">
        <w:rPr>
          <w:rFonts w:eastAsia="Arial"/>
        </w:rPr>
        <w:t xml:space="preserve">It is </w:t>
      </w:r>
      <w:r w:rsidR="000040E9">
        <w:rPr>
          <w:rFonts w:eastAsia="Arial"/>
        </w:rPr>
        <w:t>suggested</w:t>
      </w:r>
      <w:r w:rsidR="000040E9" w:rsidRPr="0074609D">
        <w:rPr>
          <w:rFonts w:eastAsia="Arial"/>
        </w:rPr>
        <w:t xml:space="preserve"> </w:t>
      </w:r>
      <w:r w:rsidR="1C64960A" w:rsidRPr="0074609D">
        <w:rPr>
          <w:rFonts w:eastAsia="Arial"/>
        </w:rPr>
        <w:t>that th</w:t>
      </w:r>
      <w:r w:rsidR="46DF198D" w:rsidRPr="0074609D">
        <w:rPr>
          <w:rFonts w:eastAsia="Arial"/>
        </w:rPr>
        <w:t xml:space="preserve">ese time frames be shortened. </w:t>
      </w:r>
    </w:p>
    <w:p w14:paraId="5EF49961" w14:textId="28BCA9A9" w:rsidR="003F7895" w:rsidRPr="0074609D" w:rsidRDefault="2833D553" w:rsidP="006F1640">
      <w:pPr>
        <w:pStyle w:val="VLADocumentText"/>
        <w:rPr>
          <w:rFonts w:eastAsia="Arial"/>
          <w:color w:val="000000" w:themeColor="text1"/>
        </w:rPr>
      </w:pPr>
      <w:r w:rsidRPr="0074609D">
        <w:rPr>
          <w:rFonts w:eastAsia="Arial"/>
        </w:rPr>
        <w:lastRenderedPageBreak/>
        <w:t xml:space="preserve">It has been our </w:t>
      </w:r>
      <w:r w:rsidR="0046572A" w:rsidRPr="0074609D">
        <w:rPr>
          <w:rFonts w:eastAsia="Arial"/>
        </w:rPr>
        <w:t>experience that the introduction of Category A and Category B offences has led to a number of instances where young people</w:t>
      </w:r>
      <w:r w:rsidRPr="0074609D">
        <w:rPr>
          <w:rFonts w:eastAsia="Arial"/>
        </w:rPr>
        <w:t xml:space="preserve">, </w:t>
      </w:r>
      <w:r w:rsidR="0046572A" w:rsidRPr="0074609D">
        <w:rPr>
          <w:rFonts w:eastAsia="Arial"/>
        </w:rPr>
        <w:t>typically those with limited or no prior criminal history</w:t>
      </w:r>
      <w:r w:rsidR="230C5D79" w:rsidRPr="0074609D">
        <w:rPr>
          <w:rFonts w:eastAsia="Arial"/>
        </w:rPr>
        <w:t>,</w:t>
      </w:r>
      <w:r w:rsidR="0046572A" w:rsidRPr="0074609D">
        <w:rPr>
          <w:rFonts w:eastAsia="Arial"/>
        </w:rPr>
        <w:t xml:space="preserve"> have spent increasingly longer periods on remand as a result of the introduction of dates for the filing hearing, service of </w:t>
      </w:r>
      <w:r w:rsidR="004872FC">
        <w:rPr>
          <w:rFonts w:eastAsia="Arial"/>
        </w:rPr>
        <w:t>h</w:t>
      </w:r>
      <w:r w:rsidR="0046572A" w:rsidRPr="0074609D">
        <w:rPr>
          <w:rFonts w:eastAsia="Arial"/>
        </w:rPr>
        <w:t xml:space="preserve">and </w:t>
      </w:r>
      <w:r w:rsidR="004872FC">
        <w:rPr>
          <w:rFonts w:eastAsia="Arial"/>
        </w:rPr>
        <w:t>u</w:t>
      </w:r>
      <w:r w:rsidR="0046572A" w:rsidRPr="0074609D">
        <w:rPr>
          <w:rFonts w:eastAsia="Arial"/>
        </w:rPr>
        <w:t xml:space="preserve">p </w:t>
      </w:r>
      <w:r w:rsidR="004872FC">
        <w:rPr>
          <w:rFonts w:eastAsia="Arial"/>
        </w:rPr>
        <w:t>b</w:t>
      </w:r>
      <w:r w:rsidR="0046572A" w:rsidRPr="0074609D">
        <w:rPr>
          <w:rFonts w:eastAsia="Arial"/>
        </w:rPr>
        <w:t>rief and committal mentions.</w:t>
      </w:r>
      <w:r w:rsidR="003117CD">
        <w:rPr>
          <w:rFonts w:eastAsia="Arial"/>
        </w:rPr>
        <w:t xml:space="preserve"> </w:t>
      </w:r>
      <w:r w:rsidR="0046572A" w:rsidRPr="0074609D">
        <w:rPr>
          <w:rFonts w:eastAsia="Arial"/>
        </w:rPr>
        <w:t xml:space="preserve">In a number of cases charges that have been the subject of Category A and Category B offences have ultimately been withdrawn but not until well after the service of the </w:t>
      </w:r>
      <w:r w:rsidR="004872FC">
        <w:rPr>
          <w:rFonts w:eastAsia="Arial"/>
        </w:rPr>
        <w:t>h</w:t>
      </w:r>
      <w:r w:rsidR="0046572A" w:rsidRPr="0074609D">
        <w:rPr>
          <w:rFonts w:eastAsia="Arial"/>
        </w:rPr>
        <w:t xml:space="preserve">and </w:t>
      </w:r>
      <w:r w:rsidR="004872FC">
        <w:rPr>
          <w:rFonts w:eastAsia="Arial"/>
        </w:rPr>
        <w:t>u</w:t>
      </w:r>
      <w:r w:rsidR="0046572A" w:rsidRPr="0074609D">
        <w:rPr>
          <w:rFonts w:eastAsia="Arial"/>
        </w:rPr>
        <w:t xml:space="preserve">p </w:t>
      </w:r>
      <w:r w:rsidR="004872FC">
        <w:rPr>
          <w:rFonts w:eastAsia="Arial"/>
        </w:rPr>
        <w:t>b</w:t>
      </w:r>
      <w:r w:rsidR="0046572A" w:rsidRPr="0074609D">
        <w:rPr>
          <w:rFonts w:eastAsia="Arial"/>
        </w:rPr>
        <w:t>rief.</w:t>
      </w:r>
      <w:r w:rsidR="003117CD">
        <w:rPr>
          <w:rFonts w:eastAsia="Arial"/>
        </w:rPr>
        <w:t xml:space="preserve"> </w:t>
      </w:r>
      <w:r w:rsidR="0046572A" w:rsidRPr="0074609D">
        <w:rPr>
          <w:rFonts w:eastAsia="Arial"/>
        </w:rPr>
        <w:t>The young person has typically remained in custody since being placed on remand and issues of the contaminating experience of custody are ever present in these matters.</w:t>
      </w:r>
    </w:p>
    <w:p w14:paraId="24781E55" w14:textId="715DA5DA" w:rsidR="0074609D" w:rsidRDefault="0048316D" w:rsidP="006F1640">
      <w:pPr>
        <w:pStyle w:val="VLADocumentText"/>
        <w:rPr>
          <w:rFonts w:eastAsia="Arial"/>
        </w:rPr>
      </w:pPr>
      <w:r>
        <w:rPr>
          <w:rFonts w:eastAsia="Arial"/>
        </w:rPr>
        <w:t xml:space="preserve">While </w:t>
      </w:r>
      <w:r w:rsidR="4E4DA3B6" w:rsidRPr="0074609D">
        <w:rPr>
          <w:rFonts w:eastAsia="Arial"/>
        </w:rPr>
        <w:t>there exists a presumption against summary</w:t>
      </w:r>
      <w:r w:rsidR="3E256084" w:rsidRPr="0074609D">
        <w:rPr>
          <w:rFonts w:eastAsia="Arial"/>
        </w:rPr>
        <w:t xml:space="preserve"> </w:t>
      </w:r>
      <w:r w:rsidR="4E4DA3B6" w:rsidRPr="0074609D">
        <w:rPr>
          <w:rFonts w:eastAsia="Arial"/>
        </w:rPr>
        <w:t>jurisdiction</w:t>
      </w:r>
      <w:r w:rsidR="00685593">
        <w:rPr>
          <w:rFonts w:eastAsia="Arial"/>
        </w:rPr>
        <w:t>,</w:t>
      </w:r>
      <w:r w:rsidR="4E4DA3B6" w:rsidRPr="0074609D">
        <w:rPr>
          <w:rFonts w:eastAsia="Arial"/>
        </w:rPr>
        <w:t xml:space="preserve"> </w:t>
      </w:r>
      <w:r w:rsidR="43558956" w:rsidRPr="0074609D">
        <w:rPr>
          <w:rFonts w:eastAsia="Arial"/>
        </w:rPr>
        <w:t>committal</w:t>
      </w:r>
      <w:r w:rsidR="08807BD1" w:rsidRPr="0074609D">
        <w:rPr>
          <w:rFonts w:eastAsia="Arial"/>
        </w:rPr>
        <w:t xml:space="preserve"> </w:t>
      </w:r>
      <w:r>
        <w:rPr>
          <w:rFonts w:eastAsia="Arial"/>
        </w:rPr>
        <w:t xml:space="preserve">proceedings </w:t>
      </w:r>
      <w:r w:rsidR="08807BD1" w:rsidRPr="0074609D">
        <w:rPr>
          <w:rFonts w:eastAsia="Arial"/>
        </w:rPr>
        <w:t xml:space="preserve">in the Children’s Court </w:t>
      </w:r>
      <w:r w:rsidR="446A6092" w:rsidRPr="0074609D">
        <w:rPr>
          <w:rFonts w:eastAsia="Arial"/>
        </w:rPr>
        <w:t xml:space="preserve">remain a </w:t>
      </w:r>
      <w:r w:rsidR="0FC680FF" w:rsidRPr="0074609D">
        <w:rPr>
          <w:rFonts w:eastAsia="Arial"/>
        </w:rPr>
        <w:t xml:space="preserve">necessary </w:t>
      </w:r>
      <w:r w:rsidR="3088DA72" w:rsidRPr="0074609D">
        <w:rPr>
          <w:rFonts w:eastAsia="Arial"/>
        </w:rPr>
        <w:t xml:space="preserve">guard </w:t>
      </w:r>
      <w:r w:rsidR="00685593">
        <w:rPr>
          <w:rFonts w:eastAsia="Arial"/>
        </w:rPr>
        <w:t xml:space="preserve">in </w:t>
      </w:r>
      <w:r w:rsidR="3088DA72" w:rsidRPr="0074609D">
        <w:rPr>
          <w:rFonts w:eastAsia="Arial"/>
        </w:rPr>
        <w:t>the interest</w:t>
      </w:r>
      <w:r w:rsidR="00685593">
        <w:rPr>
          <w:rFonts w:eastAsia="Arial"/>
        </w:rPr>
        <w:t>s</w:t>
      </w:r>
      <w:r w:rsidR="3088DA72" w:rsidRPr="0074609D">
        <w:rPr>
          <w:rFonts w:eastAsia="Arial"/>
        </w:rPr>
        <w:t xml:space="preserve"> of children </w:t>
      </w:r>
      <w:r w:rsidR="00685593">
        <w:rPr>
          <w:rFonts w:eastAsia="Arial"/>
        </w:rPr>
        <w:t xml:space="preserve">who are </w:t>
      </w:r>
      <w:r w:rsidR="3088DA72" w:rsidRPr="0074609D">
        <w:rPr>
          <w:rFonts w:eastAsia="Arial"/>
        </w:rPr>
        <w:t>charged with indictable offences.</w:t>
      </w:r>
    </w:p>
    <w:p w14:paraId="463C46AC" w14:textId="59FA213D" w:rsidR="00633B81" w:rsidRPr="00E44D59" w:rsidRDefault="00633B81" w:rsidP="00601768">
      <w:pPr>
        <w:pStyle w:val="Heading1"/>
      </w:pPr>
      <w:bookmarkStart w:id="116" w:name="_Toc17050702"/>
      <w:bookmarkStart w:id="117" w:name="_Toc17155119"/>
      <w:r w:rsidRPr="00E44D59">
        <w:t>Question 21. What are the resource implications of any proposed reforms to committal or pre-trial proceedings?</w:t>
      </w:r>
      <w:bookmarkEnd w:id="116"/>
      <w:bookmarkEnd w:id="117"/>
    </w:p>
    <w:p w14:paraId="707F09B2" w14:textId="77777777" w:rsidR="00D3715D" w:rsidRDefault="00313DE8" w:rsidP="00313DE8">
      <w:pPr>
        <w:pStyle w:val="VLADocumentText"/>
      </w:pPr>
      <w:bookmarkStart w:id="118" w:name="_Toc17050703"/>
      <w:r>
        <w:t xml:space="preserve">The expense of any widescale reform to committal proceedings warrants a careful cost-benefit analysis based on detailed modelling. In assessing the desirability of reform, it will be important to understand the scope of investment required for any significant changes to the model, and to be confident that there will be commensurate efficiency or other benefits from the change. </w:t>
      </w:r>
    </w:p>
    <w:p w14:paraId="70470D64" w14:textId="2E75C812" w:rsidR="00313DE8" w:rsidRDefault="00313DE8" w:rsidP="00313DE8">
      <w:pPr>
        <w:pStyle w:val="VLADocumentText"/>
      </w:pPr>
      <w:r>
        <w:t xml:space="preserve">The tremendous investment required to move pre-trial proceedings to the higher courts has not significantly addressed delay or inefficiencies in other jurisdictions. </w:t>
      </w:r>
      <w:r w:rsidR="002623BE">
        <w:t>T</w:t>
      </w:r>
      <w:r>
        <w:t>he material we have before us</w:t>
      </w:r>
      <w:r w:rsidR="002623BE">
        <w:t xml:space="preserve"> does not suggest </w:t>
      </w:r>
      <w:r>
        <w:t>that the significant investment necessitated would have the anticipated benefits</w:t>
      </w:r>
      <w:r w:rsidR="00050664">
        <w:t>,</w:t>
      </w:r>
      <w:r>
        <w:t xml:space="preserve"> and would not deteriorate the already stretched system. </w:t>
      </w:r>
    </w:p>
    <w:p w14:paraId="70D99FF3" w14:textId="6ACCA911" w:rsidR="00313DE8" w:rsidRDefault="00313DE8" w:rsidP="00313DE8">
      <w:pPr>
        <w:pStyle w:val="VLADocumentText"/>
      </w:pPr>
      <w:r>
        <w:t>In our submission,</w:t>
      </w:r>
      <w:r w:rsidRPr="00F54795">
        <w:t xml:space="preserve"> </w:t>
      </w:r>
      <w:r>
        <w:t xml:space="preserve">that same investment instead directed at improving the current system and properly resourcing the courts, prosecution, investigators, defence, and witness services, would have a much greater and measurable impact on the quality of the system, the experience for </w:t>
      </w:r>
      <w:r w:rsidR="00050664">
        <w:t xml:space="preserve">victims and </w:t>
      </w:r>
      <w:r>
        <w:t xml:space="preserve">witnesses and the quality of outcomes. </w:t>
      </w:r>
    </w:p>
    <w:p w14:paraId="487EF3B3" w14:textId="159EC813" w:rsidR="00AC6741" w:rsidRDefault="004D6345" w:rsidP="00313DE8">
      <w:pPr>
        <w:pStyle w:val="VLADocumentText"/>
      </w:pPr>
      <w:r>
        <w:t>I</w:t>
      </w:r>
      <w:r w:rsidR="00AC6741">
        <w:t xml:space="preserve">t is </w:t>
      </w:r>
      <w:r w:rsidR="00F761A6">
        <w:t xml:space="preserve">essential </w:t>
      </w:r>
      <w:r w:rsidR="00103655">
        <w:t xml:space="preserve">that </w:t>
      </w:r>
      <w:r>
        <w:t xml:space="preserve">the Commission carry out </w:t>
      </w:r>
      <w:r w:rsidR="00103655">
        <w:t>a</w:t>
      </w:r>
      <w:r w:rsidR="00F761A6">
        <w:t xml:space="preserve"> thorough</w:t>
      </w:r>
      <w:r w:rsidR="00103655">
        <w:t xml:space="preserve"> process analysis of the proposed changes. </w:t>
      </w:r>
      <w:r w:rsidR="00536ABB">
        <w:t xml:space="preserve">This should involve all criminal justice agencies working with the </w:t>
      </w:r>
      <w:r>
        <w:t xml:space="preserve">Commission </w:t>
      </w:r>
      <w:r w:rsidR="00536ABB">
        <w:t xml:space="preserve">to </w:t>
      </w:r>
      <w:r w:rsidR="00383C8C">
        <w:t xml:space="preserve">analyse the intended and possible unintended impacts </w:t>
      </w:r>
      <w:r>
        <w:t xml:space="preserve">on their own business </w:t>
      </w:r>
      <w:r w:rsidR="00383C8C">
        <w:t xml:space="preserve">and the likely costs of those impacts on the system. </w:t>
      </w:r>
    </w:p>
    <w:p w14:paraId="3ADF0601" w14:textId="638357BD" w:rsidR="00E16B4D" w:rsidRDefault="004C2AFD" w:rsidP="00E16B4D">
      <w:pPr>
        <w:pStyle w:val="Heading3"/>
      </w:pPr>
      <w:bookmarkStart w:id="119" w:name="_Toc17155120"/>
      <w:r>
        <w:t xml:space="preserve">Current </w:t>
      </w:r>
      <w:r w:rsidR="0027577E">
        <w:t>c</w:t>
      </w:r>
      <w:r w:rsidR="00E16B4D" w:rsidRPr="00165F8D">
        <w:t xml:space="preserve">riminal justice system </w:t>
      </w:r>
      <w:r w:rsidR="0027577E">
        <w:t>pressures</w:t>
      </w:r>
      <w:bookmarkEnd w:id="119"/>
      <w:r w:rsidR="0027577E">
        <w:t xml:space="preserve"> </w:t>
      </w:r>
    </w:p>
    <w:p w14:paraId="18F62164" w14:textId="40C9DF2D" w:rsidR="00E16B4D" w:rsidRDefault="00E16B4D" w:rsidP="00E16B4D">
      <w:pPr>
        <w:pStyle w:val="VLADocumentText"/>
      </w:pPr>
      <w:r>
        <w:t xml:space="preserve">One of the most significant challenges </w:t>
      </w:r>
      <w:r w:rsidR="004C2AFD">
        <w:t>currently facing</w:t>
      </w:r>
      <w:r>
        <w:t xml:space="preserve"> the criminal justice system is that the level of current resourcing does not meet demand. The resource impacts of any proposed changes must be properly modelled and assessed. If wide-scale system reforms are implemented without appropriate and significant investment, there is a real risk that current rates of resolution will </w:t>
      </w:r>
      <w:proofErr w:type="gramStart"/>
      <w:r>
        <w:t>reduce</w:t>
      </w:r>
      <w:proofErr w:type="gramEnd"/>
      <w:r>
        <w:t xml:space="preserve"> and the system will experience more delay. </w:t>
      </w:r>
    </w:p>
    <w:p w14:paraId="77F72FF1" w14:textId="512170D7" w:rsidR="00E16B4D" w:rsidRDefault="00E16B4D" w:rsidP="00E16B4D">
      <w:pPr>
        <w:pStyle w:val="VLADocumentText"/>
        <w:rPr>
          <w:rFonts w:cs="Arial"/>
          <w:lang w:eastAsia="en-AU"/>
        </w:rPr>
      </w:pPr>
      <w:r>
        <w:rPr>
          <w:rFonts w:cs="Arial"/>
          <w:lang w:eastAsia="en-AU"/>
        </w:rPr>
        <w:t>I</w:t>
      </w:r>
      <w:r w:rsidRPr="00AF2A45">
        <w:rPr>
          <w:rFonts w:cs="Arial"/>
          <w:lang w:eastAsia="en-AU"/>
        </w:rPr>
        <w:t xml:space="preserve">ncreasing volumes of indictable matters in </w:t>
      </w:r>
      <w:r>
        <w:rPr>
          <w:rFonts w:cs="Arial"/>
          <w:lang w:eastAsia="en-AU"/>
        </w:rPr>
        <w:t xml:space="preserve">Victoria </w:t>
      </w:r>
      <w:r w:rsidRPr="00AF2A45">
        <w:rPr>
          <w:rFonts w:cs="Arial"/>
          <w:lang w:eastAsia="en-AU"/>
        </w:rPr>
        <w:t xml:space="preserve">in recent years has </w:t>
      </w:r>
      <w:r>
        <w:rPr>
          <w:rFonts w:cs="Arial"/>
          <w:lang w:eastAsia="en-AU"/>
        </w:rPr>
        <w:t xml:space="preserve">also </w:t>
      </w:r>
      <w:r w:rsidRPr="00AF2A45">
        <w:rPr>
          <w:rFonts w:cs="Arial"/>
          <w:lang w:eastAsia="en-AU"/>
        </w:rPr>
        <w:t>placed pressure on the resources of the courts</w:t>
      </w:r>
      <w:r>
        <w:rPr>
          <w:rFonts w:cs="Arial"/>
          <w:lang w:eastAsia="en-AU"/>
        </w:rPr>
        <w:t xml:space="preserve">, which have found it difficult to manage. For example, in the County Court, while it is generally accepted that there is listing uncertainty in regional circuit courts, even in Melbourne it cannot be said that a trial date is a fixed date. In order to ensure the full utilisation of available judges, the County Court over-lists the number of trials to take account of matters that resolve or are not ready to proceed. The consequence of this practice is </w:t>
      </w:r>
      <w:r w:rsidR="00D60816">
        <w:rPr>
          <w:rFonts w:cs="Arial"/>
          <w:lang w:eastAsia="en-AU"/>
        </w:rPr>
        <w:t xml:space="preserve">that </w:t>
      </w:r>
      <w:r>
        <w:rPr>
          <w:rFonts w:cs="Arial"/>
          <w:lang w:eastAsia="en-AU"/>
        </w:rPr>
        <w:lastRenderedPageBreak/>
        <w:t xml:space="preserve">routinely there are a number of listed trials for which there are no available judges. These are listed in the ‘Reserve List’ on Monday of each week and are adjourned to the next day if no judge is available. If a judge cannot be found by the middle of that week the trial is marked ‘Not reached’ and is re-fixed for trial at the next available opportunity, currently in 9 to 12 months. </w:t>
      </w:r>
    </w:p>
    <w:p w14:paraId="60F7170E" w14:textId="77777777" w:rsidR="00E16B4D" w:rsidRDefault="00E16B4D" w:rsidP="00E16B4D">
      <w:pPr>
        <w:pStyle w:val="VLADocumentText"/>
        <w:rPr>
          <w:rFonts w:cs="Arial"/>
          <w:lang w:eastAsia="en-AU"/>
        </w:rPr>
      </w:pPr>
      <w:r>
        <w:rPr>
          <w:rFonts w:cs="Arial"/>
          <w:lang w:eastAsia="en-AU"/>
        </w:rPr>
        <w:t xml:space="preserve">The current pressures on the system are evident from a review of both the number of Not Reached trials and trials in the Reserve List. For the period 1 January 2019 to 31 May 2019 there were 10 Not Reached trials, compared to one Not Reached trial during this same period in 2018. On 12 August 2019, 17 trials were listed to commence. Only six were allocated a Judge, one was adjourned to a later trial date, while the remaining 10 continued to remain in the Reserve List and adjourned to the following day. By week’s end, three trials were unable to be reached. </w:t>
      </w:r>
    </w:p>
    <w:p w14:paraId="7E3F9671" w14:textId="77777777" w:rsidR="00E907FB" w:rsidRPr="00165F8D" w:rsidRDefault="00E907FB" w:rsidP="00E907FB">
      <w:pPr>
        <w:pStyle w:val="VLADocumentText"/>
      </w:pPr>
      <w:r w:rsidRPr="002A305D">
        <w:t xml:space="preserve">The criminal justice system has </w:t>
      </w:r>
      <w:r>
        <w:t xml:space="preserve">recently experienced </w:t>
      </w:r>
      <w:r w:rsidRPr="002A305D">
        <w:t>the effects of</w:t>
      </w:r>
      <w:r>
        <w:t xml:space="preserve"> equivalent </w:t>
      </w:r>
      <w:r w:rsidRPr="002A305D">
        <w:t>change</w:t>
      </w:r>
      <w:r>
        <w:t>s</w:t>
      </w:r>
      <w:r w:rsidRPr="002A305D">
        <w:t xml:space="preserve"> with the </w:t>
      </w:r>
      <w:r>
        <w:t>implementation of</w:t>
      </w:r>
      <w:r w:rsidRPr="002A305D">
        <w:t xml:space="preserve"> reforms to Special Hearing cases arising from the </w:t>
      </w:r>
      <w:r w:rsidRPr="002A305D">
        <w:rPr>
          <w:i/>
        </w:rPr>
        <w:t>Justice Legislation Miscellaneous Amendment Act 2018</w:t>
      </w:r>
      <w:r w:rsidRPr="002A305D">
        <w:t xml:space="preserve">. This amendment expanded section 123 of the </w:t>
      </w:r>
      <w:r w:rsidRPr="00107388">
        <w:t xml:space="preserve">Criminal Procedure Act </w:t>
      </w:r>
      <w:r w:rsidRPr="002A305D">
        <w:t xml:space="preserve">to preclude </w:t>
      </w:r>
      <w:r w:rsidRPr="002A305D">
        <w:rPr>
          <w:i/>
        </w:rPr>
        <w:t xml:space="preserve">any </w:t>
      </w:r>
      <w:r w:rsidRPr="002A305D">
        <w:t xml:space="preserve">witnesses from being cross-examined at a contested committal in sex cases involving children or cognitively impaired adults. An accused can still apply under section 198A of the </w:t>
      </w:r>
      <w:r>
        <w:t xml:space="preserve">Criminal Procedure </w:t>
      </w:r>
      <w:r w:rsidRPr="002A305D">
        <w:t xml:space="preserve">Act to cross-examine in the higher Court, witnesses other than the complainant. These changes are expected to comprise about 70-150 additional County Court days, the jurisdiction in which these cases are almost always heard. No additional </w:t>
      </w:r>
      <w:r w:rsidRPr="00165F8D">
        <w:t xml:space="preserve">funding was provided by government to support the impact of these changes. </w:t>
      </w:r>
    </w:p>
    <w:p w14:paraId="023C513A" w14:textId="77777777" w:rsidR="00E16B4D" w:rsidRDefault="00E16B4D" w:rsidP="00E16B4D">
      <w:pPr>
        <w:pStyle w:val="VLADocumentText"/>
        <w:rPr>
          <w:rFonts w:cs="Arial"/>
          <w:lang w:eastAsia="en-AU"/>
        </w:rPr>
      </w:pPr>
      <w:r>
        <w:rPr>
          <w:rFonts w:cs="Arial"/>
          <w:lang w:eastAsia="en-AU"/>
        </w:rPr>
        <w:t xml:space="preserve">This snapshot serves to highlight the </w:t>
      </w:r>
      <w:r w:rsidRPr="0074609D">
        <w:rPr>
          <w:rFonts w:cs="Arial"/>
          <w:i/>
          <w:lang w:eastAsia="en-AU"/>
        </w:rPr>
        <w:t>current</w:t>
      </w:r>
      <w:r>
        <w:rPr>
          <w:rFonts w:cs="Arial"/>
          <w:lang w:eastAsia="en-AU"/>
        </w:rPr>
        <w:t xml:space="preserve"> resourcing limitations experienced and demonstrates that there would need to be significant investment in the higher courts should pre-trial examination and case management, or any initiative that increases the workload of these court, be implemented. Not doing so would be antithetical to the objectives of the Commission’s review and will compound the existing delay issues. </w:t>
      </w:r>
    </w:p>
    <w:p w14:paraId="5F04C914" w14:textId="77777777" w:rsidR="00E16B4D" w:rsidRDefault="00E16B4D" w:rsidP="00E16B4D">
      <w:pPr>
        <w:pStyle w:val="VLADocumentText"/>
        <w:rPr>
          <w:lang w:eastAsia="en-AU"/>
        </w:rPr>
      </w:pPr>
      <w:r>
        <w:rPr>
          <w:lang w:eastAsia="en-AU"/>
        </w:rPr>
        <w:t xml:space="preserve">With more people being remanded due to changes to the Bail Act, any delay will have particular impact on Corrections Victoria with respect to both cost and logistics. </w:t>
      </w:r>
    </w:p>
    <w:p w14:paraId="55A2E825" w14:textId="77777777" w:rsidR="00E16B4D" w:rsidRDefault="00E16B4D" w:rsidP="00E16B4D">
      <w:pPr>
        <w:pStyle w:val="VLADocumentText"/>
        <w:rPr>
          <w:lang w:eastAsia="en-AU"/>
        </w:rPr>
      </w:pPr>
      <w:r w:rsidRPr="00A15A86">
        <w:rPr>
          <w:lang w:eastAsia="en-AU"/>
        </w:rPr>
        <w:t xml:space="preserve">Any reduction of the opportunity to properly test the case at the committal hearing or in pre-trial cross examination would limit the ability of the parties to streamline the issues for trial or resolve the trial; it is likely that trials </w:t>
      </w:r>
      <w:r>
        <w:rPr>
          <w:lang w:eastAsia="en-AU"/>
        </w:rPr>
        <w:t xml:space="preserve">will </w:t>
      </w:r>
      <w:r w:rsidRPr="00A15A86">
        <w:rPr>
          <w:lang w:eastAsia="en-AU"/>
        </w:rPr>
        <w:t>be</w:t>
      </w:r>
      <w:r>
        <w:rPr>
          <w:lang w:eastAsia="en-AU"/>
        </w:rPr>
        <w:t>come</w:t>
      </w:r>
      <w:r w:rsidRPr="00A15A86">
        <w:rPr>
          <w:lang w:eastAsia="en-AU"/>
        </w:rPr>
        <w:t xml:space="preserve"> less efficient in the absence of a committal process</w:t>
      </w:r>
      <w:r>
        <w:rPr>
          <w:lang w:eastAsia="en-AU"/>
        </w:rPr>
        <w:t>.</w:t>
      </w:r>
    </w:p>
    <w:p w14:paraId="65B0C927" w14:textId="77777777" w:rsidR="00E16B4D" w:rsidRDefault="00E16B4D" w:rsidP="00E16B4D">
      <w:pPr>
        <w:pStyle w:val="VLADocumentText"/>
        <w:rPr>
          <w:rFonts w:cstheme="minorHAnsi"/>
          <w:lang w:eastAsia="en-AU"/>
        </w:rPr>
      </w:pPr>
      <w:r>
        <w:rPr>
          <w:lang w:eastAsia="en-AU"/>
        </w:rPr>
        <w:t xml:space="preserve">The removal of committals </w:t>
      </w:r>
      <w:r w:rsidRPr="00A15A86">
        <w:rPr>
          <w:lang w:eastAsia="en-AU"/>
        </w:rPr>
        <w:t>may also lead to the derailment of trials or the adjournment of trials</w:t>
      </w:r>
      <w:r>
        <w:rPr>
          <w:lang w:eastAsia="en-AU"/>
        </w:rPr>
        <w:t xml:space="preserve">, </w:t>
      </w:r>
      <w:r w:rsidRPr="00A15A86">
        <w:rPr>
          <w:lang w:eastAsia="en-AU"/>
        </w:rPr>
        <w:t>significantly reduc</w:t>
      </w:r>
      <w:r>
        <w:rPr>
          <w:lang w:eastAsia="en-AU"/>
        </w:rPr>
        <w:t>ing</w:t>
      </w:r>
      <w:r w:rsidRPr="00A15A86">
        <w:rPr>
          <w:lang w:eastAsia="en-AU"/>
        </w:rPr>
        <w:t xml:space="preserve"> the number of matters </w:t>
      </w:r>
      <w:r>
        <w:rPr>
          <w:lang w:eastAsia="en-AU"/>
        </w:rPr>
        <w:t xml:space="preserve">resolved early </w:t>
      </w:r>
      <w:r w:rsidRPr="00A15A86">
        <w:rPr>
          <w:lang w:eastAsia="en-AU"/>
        </w:rPr>
        <w:t xml:space="preserve">and </w:t>
      </w:r>
      <w:r>
        <w:rPr>
          <w:lang w:eastAsia="en-AU"/>
        </w:rPr>
        <w:t xml:space="preserve">increase </w:t>
      </w:r>
      <w:r w:rsidRPr="00A15A86">
        <w:rPr>
          <w:lang w:eastAsia="en-AU"/>
        </w:rPr>
        <w:t>the number of trials</w:t>
      </w:r>
      <w:r w:rsidRPr="00AF22EE">
        <w:rPr>
          <w:rFonts w:cstheme="minorBidi"/>
          <w:lang w:eastAsia="en-AU"/>
        </w:rPr>
        <w:t>.</w:t>
      </w:r>
      <w:r>
        <w:rPr>
          <w:rFonts w:cstheme="minorBidi"/>
          <w:lang w:eastAsia="en-AU"/>
        </w:rPr>
        <w:t xml:space="preserve"> This will be particularly problematic in tight circuit lists. </w:t>
      </w:r>
    </w:p>
    <w:p w14:paraId="1A50C9CE" w14:textId="77777777" w:rsidR="006E710A" w:rsidRDefault="006E710A" w:rsidP="006E710A">
      <w:pPr>
        <w:pStyle w:val="VLADocumentText"/>
        <w:rPr>
          <w:rFonts w:cs="Arial"/>
        </w:rPr>
      </w:pPr>
      <w:r w:rsidRPr="00C92052">
        <w:rPr>
          <w:lang w:eastAsia="en-AU"/>
        </w:rPr>
        <w:t>The experience</w:t>
      </w:r>
      <w:r w:rsidRPr="008B5A4C">
        <w:rPr>
          <w:lang w:eastAsia="en-AU"/>
        </w:rPr>
        <w:t xml:space="preserve"> of </w:t>
      </w:r>
      <w:r w:rsidRPr="00BA61EB">
        <w:t>New South Wales</w:t>
      </w:r>
      <w:r w:rsidRPr="009962BE">
        <w:rPr>
          <w:b/>
          <w:bCs/>
          <w:lang w:eastAsia="en-AU"/>
        </w:rPr>
        <w:t xml:space="preserve"> </w:t>
      </w:r>
      <w:r w:rsidRPr="00C92052">
        <w:rPr>
          <w:lang w:eastAsia="en-AU"/>
        </w:rPr>
        <w:t xml:space="preserve">defence practitioners is that the significant 2018 investment </w:t>
      </w:r>
      <w:r>
        <w:rPr>
          <w:lang w:eastAsia="en-AU"/>
        </w:rPr>
        <w:t>in early appropriate resolution,</w:t>
      </w:r>
      <w:r w:rsidRPr="005A51A5">
        <w:rPr>
          <w:lang w:eastAsia="en-AU"/>
        </w:rPr>
        <w:t xml:space="preserve"> </w:t>
      </w:r>
      <w:r>
        <w:rPr>
          <w:lang w:eastAsia="en-AU"/>
        </w:rPr>
        <w:t xml:space="preserve">where all parties were funded to institute new systems, </w:t>
      </w:r>
      <w:r w:rsidRPr="00C92052">
        <w:rPr>
          <w:lang w:eastAsia="en-AU"/>
        </w:rPr>
        <w:t xml:space="preserve">have not </w:t>
      </w:r>
      <w:r>
        <w:rPr>
          <w:lang w:eastAsia="en-AU"/>
        </w:rPr>
        <w:t xml:space="preserve">yet </w:t>
      </w:r>
      <w:r w:rsidRPr="00C92052">
        <w:rPr>
          <w:lang w:eastAsia="en-AU"/>
        </w:rPr>
        <w:t>translated into meaningful improvements</w:t>
      </w:r>
      <w:r>
        <w:rPr>
          <w:lang w:eastAsia="en-AU"/>
        </w:rPr>
        <w:t xml:space="preserve"> (discussed above at </w:t>
      </w:r>
      <w:r w:rsidRPr="0085392E">
        <w:rPr>
          <w:b/>
        </w:rPr>
        <w:t>Question 4</w:t>
      </w:r>
      <w:r w:rsidRPr="003D4AF1">
        <w:t xml:space="preserve">). </w:t>
      </w:r>
      <w:r>
        <w:t xml:space="preserve">We </w:t>
      </w:r>
      <w:r w:rsidRPr="000A415F">
        <w:t xml:space="preserve">acknowledge the difficulty of translating the intent of those reforms into practice, </w:t>
      </w:r>
      <w:r>
        <w:t xml:space="preserve">however highlight the importance of </w:t>
      </w:r>
      <w:r w:rsidRPr="000A415F">
        <w:t xml:space="preserve">proper planning, </w:t>
      </w:r>
      <w:r>
        <w:t xml:space="preserve">appropriate </w:t>
      </w:r>
      <w:r w:rsidRPr="000A415F">
        <w:t xml:space="preserve">resourcing of </w:t>
      </w:r>
      <w:r>
        <w:t>the reforms</w:t>
      </w:r>
      <w:r w:rsidRPr="000A415F">
        <w:t>,</w:t>
      </w:r>
      <w:r>
        <w:t xml:space="preserve"> place-based piloting of changes to address regional differences, and proper follow-up evaluation based on access to </w:t>
      </w:r>
      <w:r w:rsidRPr="000A415F">
        <w:t>quality data</w:t>
      </w:r>
      <w:r>
        <w:t xml:space="preserve">. </w:t>
      </w:r>
    </w:p>
    <w:p w14:paraId="0D381F4D" w14:textId="77777777" w:rsidR="00165F8D" w:rsidRDefault="00165F8D" w:rsidP="00165F8D">
      <w:pPr>
        <w:pStyle w:val="Heading3"/>
      </w:pPr>
      <w:bookmarkStart w:id="120" w:name="_Toc17155121"/>
      <w:r>
        <w:t>Cost of moving all pre-trial proceedings to the higher courts</w:t>
      </w:r>
      <w:bookmarkEnd w:id="120"/>
      <w:r>
        <w:t xml:space="preserve"> </w:t>
      </w:r>
    </w:p>
    <w:p w14:paraId="78B78195" w14:textId="1F293E92" w:rsidR="00165F8D" w:rsidRPr="00165F8D" w:rsidRDefault="00165F8D" w:rsidP="00165F8D">
      <w:pPr>
        <w:pStyle w:val="VLADocumentText"/>
        <w:rPr>
          <w:lang w:eastAsia="en-AU"/>
        </w:rPr>
      </w:pPr>
      <w:r w:rsidRPr="00165F8D">
        <w:rPr>
          <w:lang w:eastAsia="en-AU"/>
        </w:rPr>
        <w:t>In our view, the resource implications of moving all pre-trial cross-examination to the trial courts would be significant</w:t>
      </w:r>
      <w:r w:rsidR="008D1B06">
        <w:rPr>
          <w:lang w:eastAsia="en-AU"/>
        </w:rPr>
        <w:t>,</w:t>
      </w:r>
      <w:r w:rsidRPr="00165F8D">
        <w:rPr>
          <w:lang w:eastAsia="en-AU"/>
        </w:rPr>
        <w:t xml:space="preserve"> with no clear guidance on what additional benefit this change might bring. </w:t>
      </w:r>
      <w:r w:rsidRPr="00165F8D">
        <w:rPr>
          <w:lang w:eastAsia="en-AU"/>
        </w:rPr>
        <w:lastRenderedPageBreak/>
        <w:t xml:space="preserve">This is in comparison to the significantly lesser investment in the current system, which has evolved through considered staged reform, with focus and fortification on early resolution, disclosure and expansion of current programs that reduce trauma for witnesses and complainants. </w:t>
      </w:r>
    </w:p>
    <w:p w14:paraId="1C65A9CA" w14:textId="77777777" w:rsidR="00165F8D" w:rsidRPr="00754F03" w:rsidRDefault="00165F8D" w:rsidP="00165F8D">
      <w:pPr>
        <w:pStyle w:val="VLADocumentText"/>
      </w:pPr>
      <w:r w:rsidRPr="00165F8D">
        <w:t xml:space="preserve">While the number of committals in the Magistrates’ Court may be a relatively small proportion of </w:t>
      </w:r>
      <w:r>
        <w:t>that court’s work,</w:t>
      </w:r>
      <w:r w:rsidRPr="002A305D">
        <w:t xml:space="preserve"> shifting </w:t>
      </w:r>
      <w:r>
        <w:t xml:space="preserve">this volume of hearings and/or </w:t>
      </w:r>
      <w:r w:rsidRPr="002A305D">
        <w:t xml:space="preserve">pre-trial case management to the higher jurisdictions, which are already at </w:t>
      </w:r>
      <w:r>
        <w:t xml:space="preserve">their limited </w:t>
      </w:r>
      <w:r w:rsidRPr="002A305D">
        <w:t xml:space="preserve">capacity, will not improve efficiency. Conversely, doing so will likely </w:t>
      </w:r>
      <w:r w:rsidRPr="002A305D">
        <w:rPr>
          <w:i/>
        </w:rPr>
        <w:t>increase</w:t>
      </w:r>
      <w:r w:rsidRPr="002A305D">
        <w:t xml:space="preserve"> delays due to the disproportionate impact this added burden will have on the higher courts and its current inability to accommodate this extra volume. </w:t>
      </w:r>
    </w:p>
    <w:p w14:paraId="4F89008B" w14:textId="56677EAE" w:rsidR="00165F8D" w:rsidRPr="002A305D" w:rsidRDefault="00165F8D" w:rsidP="00165F8D">
      <w:pPr>
        <w:pStyle w:val="VLADocumentText"/>
      </w:pPr>
      <w:r w:rsidRPr="002A305D">
        <w:t xml:space="preserve">If pre-trial examination is moved to the higher courts, approximately 2,607 additional pre-trial examinations </w:t>
      </w:r>
      <w:r w:rsidR="00B60815">
        <w:t xml:space="preserve">will </w:t>
      </w:r>
      <w:r>
        <w:t xml:space="preserve">be shifted to a higher jurisdiction </w:t>
      </w:r>
      <w:r w:rsidRPr="002A305D">
        <w:t>based on the Magistrates’ Court 2016</w:t>
      </w:r>
      <w:r>
        <w:t>/</w:t>
      </w:r>
      <w:r w:rsidRPr="002A305D">
        <w:t>17 data.</w:t>
      </w:r>
      <w:r w:rsidRPr="003D4AF1">
        <w:rPr>
          <w:vertAlign w:val="superscript"/>
        </w:rPr>
        <w:footnoteReference w:id="89"/>
      </w:r>
      <w:r w:rsidRPr="002A305D">
        <w:t xml:space="preserve"> </w:t>
      </w:r>
      <w:r>
        <w:t>This would require at least</w:t>
      </w:r>
      <w:r w:rsidRPr="002A305D">
        <w:t xml:space="preserve"> </w:t>
      </w:r>
      <w:r>
        <w:t xml:space="preserve">2,607 court sitting days to be found between the County and Supreme Courts, based on a highly conservative estimate of one sitting day per pre-trial examination. This does not include the time required for case management hearings. </w:t>
      </w:r>
    </w:p>
    <w:p w14:paraId="23D79A5F" w14:textId="5C24B3CE" w:rsidR="00F31034" w:rsidRDefault="004E68AA" w:rsidP="004E68AA">
      <w:pPr>
        <w:pStyle w:val="VLADocumentText"/>
        <w:rPr>
          <w:lang w:eastAsia="en-AU"/>
        </w:rPr>
      </w:pPr>
      <w:r w:rsidRPr="00165F8D">
        <w:rPr>
          <w:lang w:eastAsia="en-AU"/>
        </w:rPr>
        <w:t xml:space="preserve">Perhaps most critically, the higher courts are already at capacity, both in numbers of judges and physical courtroom availability. </w:t>
      </w:r>
      <w:r w:rsidR="00F31034">
        <w:t>T</w:t>
      </w:r>
      <w:r w:rsidR="00F31034" w:rsidRPr="00165F8D">
        <w:t>he limited courtroom capacity in the regions and significant i</w:t>
      </w:r>
      <w:r w:rsidR="00F31034" w:rsidRPr="00165F8D">
        <w:rPr>
          <w:lang w:eastAsia="en-AU"/>
        </w:rPr>
        <w:t xml:space="preserve">ssues with regional circuit listing practices (discussed </w:t>
      </w:r>
      <w:r w:rsidR="00F31034" w:rsidRPr="00165F8D">
        <w:t xml:space="preserve">above in </w:t>
      </w:r>
      <w:r w:rsidR="00F31034" w:rsidRPr="0085392E">
        <w:rPr>
          <w:b/>
        </w:rPr>
        <w:t>Question 5</w:t>
      </w:r>
      <w:r w:rsidR="00F31034" w:rsidRPr="00165F8D">
        <w:t>), suggest that there is very limited ability for the circuit lists to absorb the pre-trial hearings which are currently held in the Magistrates’ Court lists.</w:t>
      </w:r>
    </w:p>
    <w:p w14:paraId="2C75EDF9" w14:textId="7FDCFEB7" w:rsidR="004E68AA" w:rsidRPr="00165F8D" w:rsidRDefault="00E208A6" w:rsidP="004E68AA">
      <w:pPr>
        <w:pStyle w:val="VLADocumentText"/>
      </w:pPr>
      <w:r w:rsidRPr="002A305D">
        <w:t xml:space="preserve">It is difficult to conceive the County and Supreme Courts having sufficient Judges, courtrooms, support staff and facilities (e.g. remand facilities) to manage this additional committal type procedures without significant additional funding, including new court </w:t>
      </w:r>
      <w:r>
        <w:t>rooms and</w:t>
      </w:r>
      <w:r w:rsidRPr="002A305D">
        <w:t xml:space="preserve"> precincts.</w:t>
      </w:r>
      <w:r w:rsidR="00F31034">
        <w:t xml:space="preserve"> </w:t>
      </w:r>
      <w:r w:rsidR="004E68AA" w:rsidRPr="00165F8D">
        <w:rPr>
          <w:lang w:eastAsia="en-AU"/>
        </w:rPr>
        <w:t xml:space="preserve">The extra number of court rooms required to hear all pre-trial proceedings would be prohibitively expensive. </w:t>
      </w:r>
    </w:p>
    <w:p w14:paraId="2189391A" w14:textId="6908F3B3" w:rsidR="006243EE" w:rsidRDefault="006243EE" w:rsidP="00313DE8">
      <w:pPr>
        <w:pStyle w:val="VLADocumentText"/>
        <w:rPr>
          <w:rFonts w:cs="Arial"/>
          <w:lang w:eastAsia="en-AU"/>
        </w:rPr>
      </w:pPr>
      <w:r>
        <w:t xml:space="preserve">There are also </w:t>
      </w:r>
      <w:r w:rsidRPr="002A305D">
        <w:t>higher costs associated with funding matters in</w:t>
      </w:r>
      <w:r w:rsidR="00695C50">
        <w:t xml:space="preserve"> </w:t>
      </w:r>
      <w:r w:rsidR="00313DE8">
        <w:rPr>
          <w:rFonts w:cs="Arial"/>
          <w:lang w:eastAsia="en-AU"/>
        </w:rPr>
        <w:t>t</w:t>
      </w:r>
      <w:r w:rsidR="00313DE8" w:rsidRPr="00AF2A45">
        <w:rPr>
          <w:rFonts w:cs="Arial"/>
          <w:lang w:eastAsia="en-AU"/>
        </w:rPr>
        <w:t>he County and Supreme Courts</w:t>
      </w:r>
      <w:r w:rsidR="00695C50">
        <w:rPr>
          <w:rFonts w:cs="Arial"/>
          <w:lang w:eastAsia="en-AU"/>
        </w:rPr>
        <w:t>, which</w:t>
      </w:r>
      <w:r w:rsidR="00313DE8" w:rsidRPr="00AF2A45">
        <w:rPr>
          <w:rFonts w:cs="Arial"/>
          <w:lang w:eastAsia="en-AU"/>
        </w:rPr>
        <w:t xml:space="preserve"> are more expensive venues than the Magistrates’ Court</w:t>
      </w:r>
      <w:r w:rsidR="00313DE8">
        <w:rPr>
          <w:rFonts w:cs="Arial"/>
          <w:lang w:eastAsia="en-AU"/>
        </w:rPr>
        <w:t>.</w:t>
      </w:r>
      <w:r w:rsidR="00313DE8" w:rsidRPr="00AF2A45">
        <w:rPr>
          <w:rFonts w:cs="Arial"/>
          <w:lang w:eastAsia="en-AU"/>
        </w:rPr>
        <w:t xml:space="preserve"> </w:t>
      </w:r>
      <w:r w:rsidR="00313DE8">
        <w:rPr>
          <w:rFonts w:cs="Arial"/>
          <w:lang w:eastAsia="en-AU"/>
        </w:rPr>
        <w:t xml:space="preserve">The Issues Paper sets out the different hourly rates for counsel and judges in the </w:t>
      </w:r>
      <w:r w:rsidR="00313DE8" w:rsidRPr="00E44D59">
        <w:rPr>
          <w:rFonts w:cs="Arial"/>
          <w:lang w:eastAsia="en-AU"/>
        </w:rPr>
        <w:t xml:space="preserve">County Court </w:t>
      </w:r>
      <w:r w:rsidR="00313DE8">
        <w:rPr>
          <w:rFonts w:cs="Arial"/>
          <w:lang w:eastAsia="en-AU"/>
        </w:rPr>
        <w:t>compared with the</w:t>
      </w:r>
      <w:r w:rsidR="00313DE8" w:rsidRPr="00E44D59">
        <w:rPr>
          <w:rFonts w:cs="Arial"/>
          <w:lang w:eastAsia="en-AU"/>
        </w:rPr>
        <w:t xml:space="preserve"> Magistrates’ Court</w:t>
      </w:r>
      <w:r w:rsidR="00313DE8">
        <w:rPr>
          <w:rFonts w:cs="Arial"/>
          <w:lang w:eastAsia="en-AU"/>
        </w:rPr>
        <w:t xml:space="preserve">. However, it is unclear whether this takes into </w:t>
      </w:r>
      <w:r w:rsidR="00313DE8" w:rsidRPr="00E44D59">
        <w:rPr>
          <w:rFonts w:cs="Arial"/>
          <w:lang w:eastAsia="en-AU"/>
        </w:rPr>
        <w:t xml:space="preserve">account </w:t>
      </w:r>
      <w:r w:rsidR="00313DE8">
        <w:rPr>
          <w:rFonts w:cs="Arial"/>
          <w:lang w:eastAsia="en-AU"/>
        </w:rPr>
        <w:t xml:space="preserve">other </w:t>
      </w:r>
      <w:r w:rsidR="00313DE8" w:rsidRPr="0066042C">
        <w:rPr>
          <w:rFonts w:cs="Arial"/>
          <w:lang w:eastAsia="en-AU"/>
        </w:rPr>
        <w:t xml:space="preserve">operational costs associated with the higher jurisdictions, either added or more expensive, including increased forms of security (Corrections Victoria officers and G4S), court </w:t>
      </w:r>
      <w:r w:rsidR="00313DE8" w:rsidRPr="0066042C">
        <w:t xml:space="preserve">holding facilities, </w:t>
      </w:r>
      <w:r w:rsidR="00313DE8" w:rsidRPr="0066042C">
        <w:rPr>
          <w:rFonts w:cs="Arial"/>
          <w:lang w:eastAsia="en-AU"/>
        </w:rPr>
        <w:t xml:space="preserve">tipstaves and associate time, and circuit travel costs for the judges and support staff. </w:t>
      </w:r>
    </w:p>
    <w:p w14:paraId="47F17184" w14:textId="06D688F0" w:rsidR="00165F8D" w:rsidRPr="00165F8D" w:rsidRDefault="00313DE8" w:rsidP="00185B4B">
      <w:pPr>
        <w:pStyle w:val="VLADocumentText"/>
      </w:pPr>
      <w:r w:rsidRPr="0066042C">
        <w:rPr>
          <w:rFonts w:cs="Arial"/>
          <w:lang w:eastAsia="en-AU"/>
        </w:rPr>
        <w:t>In addition, the OPP and VLA would require additional resources with higher solicitor and counsel costs in the County</w:t>
      </w:r>
      <w:r w:rsidRPr="00AF2A45">
        <w:rPr>
          <w:rFonts w:cs="Arial"/>
          <w:lang w:eastAsia="en-AU"/>
        </w:rPr>
        <w:t xml:space="preserve"> and Supreme Courts</w:t>
      </w:r>
      <w:r w:rsidR="00695C50">
        <w:rPr>
          <w:rFonts w:cs="Arial"/>
          <w:lang w:eastAsia="en-AU"/>
        </w:rPr>
        <w:t>,</w:t>
      </w:r>
      <w:r w:rsidRPr="00AF2A45">
        <w:rPr>
          <w:rFonts w:cs="Arial"/>
          <w:lang w:eastAsia="en-AU"/>
        </w:rPr>
        <w:t xml:space="preserve"> </w:t>
      </w:r>
      <w:r>
        <w:rPr>
          <w:rFonts w:cs="Arial"/>
          <w:lang w:eastAsia="en-AU"/>
        </w:rPr>
        <w:t xml:space="preserve">compared to </w:t>
      </w:r>
      <w:r w:rsidRPr="00AF2A45">
        <w:rPr>
          <w:rFonts w:cs="Arial"/>
          <w:lang w:eastAsia="en-AU"/>
        </w:rPr>
        <w:t>a committal in the Magistrates’ Court.</w:t>
      </w:r>
      <w:r w:rsidR="006243EE">
        <w:rPr>
          <w:lang w:eastAsia="en-AU"/>
        </w:rPr>
        <w:t xml:space="preserve"> </w:t>
      </w:r>
      <w:r w:rsidR="00165F8D" w:rsidRPr="00165F8D">
        <w:rPr>
          <w:lang w:eastAsia="en-AU"/>
        </w:rPr>
        <w:t xml:space="preserve">Aside from the higher fees for legal aid and prosecution counsel appearing in the higher jurisdiction, County Court and Supreme Court hours are significantly more expensive than Magistrates’ Court hours. </w:t>
      </w:r>
    </w:p>
    <w:p w14:paraId="42EB2CF1" w14:textId="77777777" w:rsidR="00633B81" w:rsidRPr="008224B9" w:rsidRDefault="00633B81" w:rsidP="00633B81">
      <w:pPr>
        <w:pStyle w:val="Heading3"/>
      </w:pPr>
      <w:bookmarkStart w:id="121" w:name="_Toc17050704"/>
      <w:bookmarkStart w:id="122" w:name="_Toc17155122"/>
      <w:bookmarkEnd w:id="118"/>
      <w:r w:rsidRPr="008224B9">
        <w:t xml:space="preserve">Regional </w:t>
      </w:r>
      <w:r>
        <w:t>i</w:t>
      </w:r>
      <w:r w:rsidRPr="008224B9">
        <w:t>mpact</w:t>
      </w:r>
      <w:r>
        <w:t>s</w:t>
      </w:r>
      <w:bookmarkEnd w:id="121"/>
      <w:bookmarkEnd w:id="122"/>
    </w:p>
    <w:p w14:paraId="21E8CCD7" w14:textId="2E421312" w:rsidR="00AA1905" w:rsidRPr="008224B9" w:rsidRDefault="00AA1905" w:rsidP="00165F8D">
      <w:pPr>
        <w:spacing w:before="120"/>
        <w:rPr>
          <w:i/>
        </w:rPr>
      </w:pPr>
      <w:r>
        <w:t>There are particular challenges in regional locations that are relevant to the consideration of reform</w:t>
      </w:r>
      <w:r w:rsidR="00E83E34">
        <w:t xml:space="preserve"> and any shift of pre-trial proceedings from the Magistrates Court to the County Court. </w:t>
      </w:r>
      <w:r w:rsidR="005B3A92">
        <w:t>There is potential for procedural reform to amplify the inequality between metropolitan and regional courts.</w:t>
      </w:r>
      <w:r w:rsidR="00073140">
        <w:t xml:space="preserve"> </w:t>
      </w:r>
      <w:r w:rsidR="005B3A92">
        <w:t>Some of these challenges are set out below</w:t>
      </w:r>
      <w:r w:rsidR="00951E07">
        <w:t>.</w:t>
      </w:r>
    </w:p>
    <w:p w14:paraId="3DED9DCB" w14:textId="3FE5BB27" w:rsidR="00633B81" w:rsidRPr="00F665D4" w:rsidRDefault="005B3A92" w:rsidP="00951E07">
      <w:pPr>
        <w:spacing w:before="120"/>
      </w:pPr>
      <w:r w:rsidRPr="00951E07">
        <w:rPr>
          <w:b/>
        </w:rPr>
        <w:lastRenderedPageBreak/>
        <w:t>Listing practices.</w:t>
      </w:r>
      <w:r w:rsidR="00073140">
        <w:t xml:space="preserve"> </w:t>
      </w:r>
      <w:r w:rsidR="00633B81">
        <w:t>On</w:t>
      </w:r>
      <w:r w:rsidR="00633B81" w:rsidRPr="3A201B86">
        <w:t xml:space="preserve">e of the greatest hurdles faced by regional clients, </w:t>
      </w:r>
      <w:r w:rsidR="00633B81" w:rsidRPr="50926091">
        <w:t>complainant and police is the lack of certainty of when a trial will be heard. Currently</w:t>
      </w:r>
      <w:r w:rsidR="00633B81" w:rsidRPr="709E2AB5">
        <w:t xml:space="preserve"> where a County Court is not gazetted to sit conti</w:t>
      </w:r>
      <w:r w:rsidR="00633B81" w:rsidRPr="4C9A18E6">
        <w:t>nually throughout the calendar year</w:t>
      </w:r>
      <w:r w:rsidR="00633B81" w:rsidRPr="709E2AB5">
        <w:t xml:space="preserve"> a </w:t>
      </w:r>
      <w:r w:rsidR="00633B81" w:rsidRPr="4C9A18E6">
        <w:t xml:space="preserve">County Court </w:t>
      </w:r>
      <w:r w:rsidR="00633B81" w:rsidRPr="709E2AB5">
        <w:t xml:space="preserve">circuit will </w:t>
      </w:r>
      <w:r w:rsidR="00633B81" w:rsidRPr="4C9A18E6">
        <w:t>sit two times per year or in other regional areas six to eight</w:t>
      </w:r>
      <w:r w:rsidR="00633B81" w:rsidRPr="122353ED">
        <w:t xml:space="preserve"> </w:t>
      </w:r>
      <w:r w:rsidR="00633B81" w:rsidRPr="4C9A18E6">
        <w:t>times a year</w:t>
      </w:r>
      <w:r w:rsidR="00633B81" w:rsidRPr="122353ED">
        <w:t>.</w:t>
      </w:r>
      <w:r w:rsidR="00633B81" w:rsidRPr="4C9A18E6">
        <w:t xml:space="preserve"> Often trials get </w:t>
      </w:r>
      <w:r w:rsidR="00633B81">
        <w:t xml:space="preserve">reshuffled and re-listed with great regularity. For example, a matter involving sex charges where the complainant is under 16 or has a cognitive impairment may ‘bump’ another trial in the list to take prime position. This means practitioners, on both sides of the bar table, are reticent to fully prepare a trial matter till they are sure the matter will be heard. </w:t>
      </w:r>
    </w:p>
    <w:p w14:paraId="693DB671" w14:textId="2954C420" w:rsidR="00591D72" w:rsidRDefault="00591D72" w:rsidP="00951E07">
      <w:pPr>
        <w:spacing w:before="120"/>
      </w:pPr>
      <w:r w:rsidRPr="00951E07">
        <w:rPr>
          <w:b/>
        </w:rPr>
        <w:t xml:space="preserve">Access to interpreters. </w:t>
      </w:r>
      <w:r w:rsidR="00633B81">
        <w:t>A VLA lawyer in Bendigo points to the lack of interpreting services in regional areas. Ordinarily interpreters utilised for court proceedings hold the highest level of accreditation.</w:t>
      </w:r>
      <w:r w:rsidR="00633B81">
        <w:rPr>
          <w:rStyle w:val="FootnoteReference"/>
        </w:rPr>
        <w:footnoteReference w:id="90"/>
      </w:r>
      <w:r w:rsidR="00633B81">
        <w:t xml:space="preserve"> However, in regional Victoria clients and police do not have access to highly qualified interpreters. Often police and regional clients need to rely on a telephone service where the interpreter phones in, however the telephone service is often a poor substitute when faced with a client who has a hearing impairment, mental illness or cognitive impairment. If the police need to show the witness an exhibit in </w:t>
      </w:r>
      <w:r w:rsidR="005D1F97">
        <w:t>E</w:t>
      </w:r>
      <w:r w:rsidR="00633B81">
        <w:t xml:space="preserve">nglish, the telephone interpreting service is limited in the assistance it may offer. </w:t>
      </w:r>
      <w:r w:rsidR="00633B81" w:rsidRPr="7A59EE32">
        <w:t xml:space="preserve">When faced with witnesses and accused from </w:t>
      </w:r>
      <w:r w:rsidR="00633B81">
        <w:t xml:space="preserve">culturally and linguistically diverse </w:t>
      </w:r>
      <w:r w:rsidR="00633B81" w:rsidRPr="7A59EE32">
        <w:t>back</w:t>
      </w:r>
      <w:r w:rsidR="00633B81" w:rsidRPr="5A1921BB">
        <w:t>grounds</w:t>
      </w:r>
      <w:r w:rsidR="00633B81">
        <w:t>,</w:t>
      </w:r>
      <w:r w:rsidR="00633B81" w:rsidRPr="5A1921BB">
        <w:t xml:space="preserve"> police require additional time to obtain witness statements and often the lack of high quality interpreting services means weight that can be attributed to those </w:t>
      </w:r>
      <w:r w:rsidR="00633B81">
        <w:t>statements is minimal.</w:t>
      </w:r>
    </w:p>
    <w:p w14:paraId="1741CEC5" w14:textId="63522179" w:rsidR="00633B81" w:rsidRDefault="00591D72" w:rsidP="00951E07">
      <w:pPr>
        <w:spacing w:before="120"/>
      </w:pPr>
      <w:r w:rsidRPr="00951E07">
        <w:rPr>
          <w:b/>
        </w:rPr>
        <w:t xml:space="preserve">Availability of forensic services. </w:t>
      </w:r>
      <w:r w:rsidR="00633B81">
        <w:t>VLA practitioners in Bendigo and Gippsland note that Victoria Police crime scene service officers do not readily travel to regional areas for all crime</w:t>
      </w:r>
      <w:r w:rsidR="00633B81" w:rsidRPr="76427926">
        <w:t xml:space="preserve"> </w:t>
      </w:r>
      <w:r w:rsidR="00633B81">
        <w:t>scenes. If the offence is not considered serious enough then detectives may gather buccal swabs</w:t>
      </w:r>
      <w:r w:rsidR="003936D0">
        <w:t>,</w:t>
      </w:r>
      <w:r w:rsidR="00633B81">
        <w:t xml:space="preserve"> or the crime scene services attend upon the crime scene several days after the alleged offending. The delay in the attendance of the crime scene services means there are delays in taking the evidentiary material back to the laboratory for testing. Further, if defence wish to retain an expert to conduct examinations at a crime scene</w:t>
      </w:r>
      <w:r w:rsidR="003936D0">
        <w:t>,</w:t>
      </w:r>
      <w:r w:rsidR="00633B81" w:rsidRPr="76427926">
        <w:t xml:space="preserve"> </w:t>
      </w:r>
      <w:r w:rsidR="00633B81">
        <w:t xml:space="preserve">they often need to seek long periods of adjournments. </w:t>
      </w:r>
      <w:r w:rsidR="00CC7D12">
        <w:t>As an example, a</w:t>
      </w:r>
      <w:r w:rsidR="00633B81">
        <w:t xml:space="preserve"> practitioner from Gippsland advised that he sought to retain an expert to give advice about an allegation of arson. The expert advised that if the report were to be conducted on the notes of the police he would be able to return a report within a few weeks, however if he needed to conduct further examinations of the scene the report would take several months because the expert needed to find availability in their diary that would allow for a couple of days of travel into their schedule. </w:t>
      </w:r>
    </w:p>
    <w:p w14:paraId="52A60A3F" w14:textId="061838E5" w:rsidR="00633B81" w:rsidRDefault="00FB04AA" w:rsidP="00165F8D">
      <w:pPr>
        <w:spacing w:before="120"/>
      </w:pPr>
      <w:r>
        <w:t xml:space="preserve">In the event that the VLRC supports the shift of </w:t>
      </w:r>
      <w:r w:rsidR="00350471">
        <w:t xml:space="preserve">committal processes to the </w:t>
      </w:r>
      <w:r w:rsidR="00633B81" w:rsidRPr="4F6510F9">
        <w:t>County Court</w:t>
      </w:r>
      <w:r w:rsidR="00350471">
        <w:t xml:space="preserve">, we suggest the following additional measures to minimise any </w:t>
      </w:r>
      <w:r w:rsidR="00633B81">
        <w:t>disparity in the accessibility of the criminal justice system for those in regional areas:</w:t>
      </w:r>
    </w:p>
    <w:p w14:paraId="46E3F2F2" w14:textId="68937944" w:rsidR="00633B81" w:rsidRDefault="00065777" w:rsidP="00165F8D">
      <w:pPr>
        <w:pStyle w:val="ListParagraph"/>
        <w:numPr>
          <w:ilvl w:val="0"/>
          <w:numId w:val="19"/>
        </w:numPr>
        <w:spacing w:before="120"/>
        <w:ind w:left="714" w:hanging="357"/>
      </w:pPr>
      <w:r>
        <w:t xml:space="preserve">the </w:t>
      </w:r>
      <w:r w:rsidRPr="6D4D2945">
        <w:t>County Court will need</w:t>
      </w:r>
      <w:r>
        <w:t xml:space="preserve"> to s</w:t>
      </w:r>
      <w:r w:rsidR="00633B81">
        <w:t>it with greater regularity to ensure clients are not waiting for up to 6 months to come before a judicial officer who will adjudicate their matter</w:t>
      </w:r>
      <w:r>
        <w:t>;</w:t>
      </w:r>
      <w:r w:rsidR="00633B81" w:rsidRPr="1FD495D0">
        <w:t xml:space="preserve"> </w:t>
      </w:r>
    </w:p>
    <w:p w14:paraId="31EC0282" w14:textId="1501354C" w:rsidR="00633B81" w:rsidDel="6297898F" w:rsidRDefault="00633B81" w:rsidP="00165F8D">
      <w:pPr>
        <w:pStyle w:val="ListParagraph"/>
        <w:numPr>
          <w:ilvl w:val="0"/>
          <w:numId w:val="19"/>
        </w:numPr>
        <w:spacing w:before="120"/>
        <w:ind w:left="714" w:hanging="357"/>
      </w:pPr>
      <w:r>
        <w:t xml:space="preserve">County Court judges </w:t>
      </w:r>
      <w:r w:rsidR="00065777">
        <w:t xml:space="preserve">will need to be </w:t>
      </w:r>
      <w:r w:rsidR="00EC79A0">
        <w:t xml:space="preserve">permanently </w:t>
      </w:r>
      <w:r w:rsidR="00065777">
        <w:t xml:space="preserve">allocated </w:t>
      </w:r>
      <w:r>
        <w:t>to large regional hubs to hear the pre-trial arguments</w:t>
      </w:r>
      <w:r w:rsidR="00065777">
        <w:t>;</w:t>
      </w:r>
      <w:r>
        <w:t xml:space="preserve"> </w:t>
      </w:r>
    </w:p>
    <w:p w14:paraId="309E2C10" w14:textId="0D28B4C8" w:rsidR="00633B81" w:rsidRDefault="00EC79A0" w:rsidP="00165F8D">
      <w:pPr>
        <w:pStyle w:val="ListParagraph"/>
        <w:numPr>
          <w:ilvl w:val="0"/>
          <w:numId w:val="19"/>
        </w:numPr>
        <w:spacing w:before="120"/>
        <w:ind w:left="714" w:hanging="357"/>
      </w:pPr>
      <w:r>
        <w:t xml:space="preserve">the </w:t>
      </w:r>
      <w:r w:rsidRPr="6D4D2945">
        <w:t>County Court will need</w:t>
      </w:r>
      <w:r>
        <w:t xml:space="preserve"> to e</w:t>
      </w:r>
      <w:r w:rsidR="00633B81">
        <w:t xml:space="preserve">nsure that clients in custody with </w:t>
      </w:r>
      <w:r w:rsidR="00667354">
        <w:t xml:space="preserve">pending </w:t>
      </w:r>
      <w:r w:rsidR="00633B81">
        <w:t xml:space="preserve">appeals are not adversely affected through longer periods of delay as a consequence of absorbing additional pre-trial procedures and hearings. </w:t>
      </w:r>
    </w:p>
    <w:p w14:paraId="5DE52C52" w14:textId="6DAC1C1E" w:rsidR="009011AC" w:rsidRDefault="009011AC" w:rsidP="00165F8D">
      <w:pPr>
        <w:spacing w:before="120"/>
      </w:pPr>
      <w:r>
        <w:lastRenderedPageBreak/>
        <w:t xml:space="preserve">These measures </w:t>
      </w:r>
      <w:r w:rsidR="00667354">
        <w:t xml:space="preserve">are recommended </w:t>
      </w:r>
      <w:r>
        <w:t xml:space="preserve">to ensure that </w:t>
      </w:r>
      <w:r w:rsidRPr="4F6510F9">
        <w:t>disclosure obligations are met, pre-committal examina</w:t>
      </w:r>
      <w:r w:rsidRPr="6D4D2945">
        <w:t>tions are conducted</w:t>
      </w:r>
      <w:r>
        <w:t>, and parties</w:t>
      </w:r>
      <w:r w:rsidRPr="6D4D2945">
        <w:t xml:space="preserve"> engag</w:t>
      </w:r>
      <w:r>
        <w:t>e</w:t>
      </w:r>
      <w:r w:rsidRPr="6D4D2945">
        <w:t xml:space="preserve"> in case conferencing</w:t>
      </w:r>
      <w:r>
        <w:t xml:space="preserve"> to promote the earliest opportunity for resolution. </w:t>
      </w:r>
    </w:p>
    <w:p w14:paraId="3F0D3C2D" w14:textId="77777777" w:rsidR="00633B81" w:rsidRDefault="00633B81" w:rsidP="00165F8D">
      <w:pPr>
        <w:pStyle w:val="Heading3"/>
      </w:pPr>
      <w:bookmarkStart w:id="123" w:name="_Toc17050705"/>
      <w:bookmarkStart w:id="124" w:name="_Toc17155123"/>
      <w:r>
        <w:t>VLA specific resource implications</w:t>
      </w:r>
      <w:bookmarkEnd w:id="123"/>
      <w:bookmarkEnd w:id="124"/>
    </w:p>
    <w:p w14:paraId="354FF5B3" w14:textId="77777777" w:rsidR="00D06147" w:rsidRDefault="00633B81" w:rsidP="00165F8D">
      <w:pPr>
        <w:pStyle w:val="VLADocumentText"/>
        <w:rPr>
          <w:lang w:eastAsia="en-AU"/>
        </w:rPr>
      </w:pPr>
      <w:r w:rsidRPr="00834A24">
        <w:rPr>
          <w:lang w:eastAsia="en-AU"/>
        </w:rPr>
        <w:t xml:space="preserve">VLA provides funding for all aspects of </w:t>
      </w:r>
      <w:r w:rsidR="007C3932">
        <w:rPr>
          <w:lang w:eastAsia="en-AU"/>
        </w:rPr>
        <w:t xml:space="preserve">an indictable case </w:t>
      </w:r>
      <w:r>
        <w:rPr>
          <w:lang w:eastAsia="en-AU"/>
        </w:rPr>
        <w:t xml:space="preserve">after the </w:t>
      </w:r>
      <w:r w:rsidRPr="00834A24">
        <w:rPr>
          <w:lang w:eastAsia="en-AU"/>
        </w:rPr>
        <w:t xml:space="preserve">filing hearing. </w:t>
      </w:r>
      <w:r w:rsidR="005323CB">
        <w:rPr>
          <w:lang w:eastAsia="en-AU"/>
        </w:rPr>
        <w:t>In</w:t>
      </w:r>
      <w:r w:rsidR="007C3932">
        <w:rPr>
          <w:lang w:eastAsia="en-AU"/>
        </w:rPr>
        <w:t xml:space="preserve"> the early stages, this includes </w:t>
      </w:r>
      <w:r w:rsidRPr="00834A24">
        <w:rPr>
          <w:lang w:eastAsia="en-AU"/>
        </w:rPr>
        <w:t>funding the solicitor for general preparation</w:t>
      </w:r>
      <w:r w:rsidR="007C3932">
        <w:rPr>
          <w:lang w:eastAsia="en-AU"/>
        </w:rPr>
        <w:t xml:space="preserve">, </w:t>
      </w:r>
      <w:r w:rsidRPr="00834A24">
        <w:rPr>
          <w:lang w:eastAsia="en-AU"/>
        </w:rPr>
        <w:t xml:space="preserve">taking instructions, negotiating with the prosecution and preparing and filing the Form 32 Case Direction Notice. Further, as incentive to encourage early and thorough preparation of a committal matter, VLA provides </w:t>
      </w:r>
      <w:r w:rsidR="0045566C">
        <w:rPr>
          <w:lang w:eastAsia="en-AU"/>
        </w:rPr>
        <w:t xml:space="preserve">specific </w:t>
      </w:r>
      <w:r w:rsidRPr="00834A24">
        <w:rPr>
          <w:lang w:eastAsia="en-AU"/>
        </w:rPr>
        <w:t xml:space="preserve">funding for a practitioner to conduct an analysis of the brief and develop a case strategy. </w:t>
      </w:r>
    </w:p>
    <w:p w14:paraId="64C8933A" w14:textId="222D0CC7" w:rsidR="00633B81" w:rsidRDefault="00633B81" w:rsidP="00165F8D">
      <w:pPr>
        <w:pStyle w:val="VLADocumentText"/>
        <w:rPr>
          <w:lang w:eastAsia="en-AU"/>
        </w:rPr>
      </w:pPr>
      <w:r w:rsidRPr="00834A24">
        <w:rPr>
          <w:lang w:eastAsia="en-AU"/>
        </w:rPr>
        <w:t xml:space="preserve">Funding is also provided to counsel for preparation of the </w:t>
      </w:r>
      <w:r w:rsidR="00630160">
        <w:rPr>
          <w:lang w:eastAsia="en-AU"/>
        </w:rPr>
        <w:t>committal</w:t>
      </w:r>
      <w:r w:rsidR="007C0FE7">
        <w:rPr>
          <w:lang w:eastAsia="en-AU"/>
        </w:rPr>
        <w:t xml:space="preserve"> </w:t>
      </w:r>
      <w:r w:rsidR="00630160">
        <w:rPr>
          <w:lang w:eastAsia="en-AU"/>
        </w:rPr>
        <w:t>proceeding</w:t>
      </w:r>
      <w:r w:rsidRPr="00834A24">
        <w:rPr>
          <w:lang w:eastAsia="en-AU"/>
        </w:rPr>
        <w:t xml:space="preserve">, conferencing with the client and case conferencing. In addition, at the time of briefing counsel for a contested committal, counsel </w:t>
      </w:r>
      <w:r w:rsidR="00630160">
        <w:rPr>
          <w:lang w:eastAsia="en-AU"/>
        </w:rPr>
        <w:t xml:space="preserve">is </w:t>
      </w:r>
      <w:r w:rsidRPr="00834A24">
        <w:rPr>
          <w:lang w:eastAsia="en-AU"/>
        </w:rPr>
        <w:t xml:space="preserve">also be briefed to undertake post-committal negotiations, for which </w:t>
      </w:r>
      <w:r w:rsidR="00630160">
        <w:rPr>
          <w:lang w:eastAsia="en-AU"/>
        </w:rPr>
        <w:t xml:space="preserve">there is </w:t>
      </w:r>
      <w:r w:rsidR="0029324E">
        <w:rPr>
          <w:lang w:eastAsia="en-AU"/>
        </w:rPr>
        <w:t xml:space="preserve">additional </w:t>
      </w:r>
      <w:r w:rsidRPr="00834A24">
        <w:rPr>
          <w:lang w:eastAsia="en-AU"/>
        </w:rPr>
        <w:t>funding</w:t>
      </w:r>
      <w:r w:rsidR="00630160">
        <w:rPr>
          <w:lang w:eastAsia="en-AU"/>
        </w:rPr>
        <w:t xml:space="preserve"> if this conducted</w:t>
      </w:r>
      <w:r w:rsidRPr="00834A24">
        <w:rPr>
          <w:lang w:eastAsia="en-AU"/>
        </w:rPr>
        <w:t>.</w:t>
      </w:r>
      <w:r w:rsidR="00FC4831">
        <w:rPr>
          <w:lang w:eastAsia="en-AU"/>
        </w:rPr>
        <w:t xml:space="preserve"> Again, this is to incentivise resolution.</w:t>
      </w:r>
      <w:r w:rsidRPr="00834A24">
        <w:rPr>
          <w:lang w:eastAsia="en-AU"/>
        </w:rPr>
        <w:t xml:space="preserve"> </w:t>
      </w:r>
      <w:r w:rsidR="000618B9">
        <w:rPr>
          <w:lang w:eastAsia="en-AU"/>
        </w:rPr>
        <w:t>F</w:t>
      </w:r>
      <w:r w:rsidRPr="00834A24">
        <w:rPr>
          <w:lang w:eastAsia="en-AU"/>
        </w:rPr>
        <w:t>ees are paid for each necessary attendance at a committal mention and each contested committal hearing day.</w:t>
      </w:r>
    </w:p>
    <w:p w14:paraId="7DC50F47" w14:textId="64379C84" w:rsidR="00633B81" w:rsidRPr="00A15A86" w:rsidRDefault="00633B81" w:rsidP="00165F8D">
      <w:pPr>
        <w:pStyle w:val="VLADocumentText"/>
        <w:rPr>
          <w:lang w:eastAsia="en-AU"/>
        </w:rPr>
      </w:pPr>
      <w:r w:rsidRPr="00A15A86">
        <w:rPr>
          <w:lang w:eastAsia="en-AU"/>
        </w:rPr>
        <w:t>Remuneration rates for lawyers and barristers in the higher courts are significantly higher than in the Magistrates’ Court. If committals are replaced with cross-examination in the higher courts</w:t>
      </w:r>
      <w:r w:rsidR="003936D0">
        <w:rPr>
          <w:lang w:eastAsia="en-AU"/>
        </w:rPr>
        <w:t>,</w:t>
      </w:r>
      <w:r w:rsidRPr="00A15A86">
        <w:rPr>
          <w:lang w:eastAsia="en-AU"/>
        </w:rPr>
        <w:t xml:space="preserve"> then the cost of conducting the matter will be commensu</w:t>
      </w:r>
      <w:r w:rsidR="00CB76B9">
        <w:rPr>
          <w:lang w:eastAsia="en-AU"/>
        </w:rPr>
        <w:t>rately</w:t>
      </w:r>
      <w:r w:rsidRPr="00A15A86">
        <w:rPr>
          <w:lang w:eastAsia="en-AU"/>
        </w:rPr>
        <w:t xml:space="preserve"> higher. </w:t>
      </w:r>
    </w:p>
    <w:p w14:paraId="0BE816A0" w14:textId="77777777" w:rsidR="00633B81" w:rsidRPr="00E44D59" w:rsidRDefault="00633B81" w:rsidP="00165F8D">
      <w:pPr>
        <w:pStyle w:val="VLADocumentText"/>
      </w:pPr>
      <w:r w:rsidRPr="00E44D59">
        <w:t xml:space="preserve">Implementing significant procedural changes requires updating the VLA online grants management system and the online VLA Handbook for Lawyers. Both of these changes require a significant investment of time and resources. Changes to our online grants management system also involves a cost to VLA. </w:t>
      </w:r>
    </w:p>
    <w:p w14:paraId="61B8A71A" w14:textId="77777777" w:rsidR="00633B81" w:rsidRDefault="00633B81" w:rsidP="00165F8D">
      <w:pPr>
        <w:pStyle w:val="VLADocumentText"/>
      </w:pPr>
      <w:r w:rsidRPr="00E44D59">
        <w:t>Internal resources will be required to prepare training sessions and develop materials to support VLA inhouse and private practitioners</w:t>
      </w:r>
      <w:r>
        <w:t xml:space="preserve">. </w:t>
      </w:r>
      <w:r w:rsidRPr="00E44D59">
        <w:t xml:space="preserve">Changes to VLA’s eligibility guidelines and fees paid for indictable criminal law matters will require specific financial cost implications of any changes. </w:t>
      </w:r>
    </w:p>
    <w:p w14:paraId="03EF8C61" w14:textId="77777777" w:rsidR="00633B81" w:rsidRPr="00AF22EE" w:rsidRDefault="00633B81" w:rsidP="00633B81">
      <w:pPr>
        <w:pStyle w:val="Heading3"/>
      </w:pPr>
      <w:bookmarkStart w:id="125" w:name="_Toc17050706"/>
      <w:bookmarkStart w:id="126" w:name="_Toc17155124"/>
      <w:r w:rsidRPr="00AF22EE">
        <w:t>Evaluation</w:t>
      </w:r>
      <w:bookmarkEnd w:id="125"/>
      <w:bookmarkEnd w:id="126"/>
    </w:p>
    <w:p w14:paraId="209B2639" w14:textId="77777777" w:rsidR="00602D9C" w:rsidRDefault="00633B81" w:rsidP="00633B81">
      <w:pPr>
        <w:pStyle w:val="VLADocumentText"/>
        <w:rPr>
          <w:lang w:eastAsia="en-AU"/>
        </w:rPr>
      </w:pPr>
      <w:r>
        <w:rPr>
          <w:lang w:eastAsia="en-AU"/>
        </w:rPr>
        <w:t>W</w:t>
      </w:r>
      <w:r w:rsidRPr="005C6A18">
        <w:rPr>
          <w:lang w:eastAsia="en-AU"/>
        </w:rPr>
        <w:t xml:space="preserve">e suggest that regardless of the system ultimately recommended, there must be a robust evaluation at three years following the commencement of any reforms. The importance of this is highlighted by the experience of other jurisdictions that reforms have not had the positive intended consequences. We </w:t>
      </w:r>
      <w:r>
        <w:rPr>
          <w:lang w:eastAsia="en-AU"/>
        </w:rPr>
        <w:t xml:space="preserve">strongly recommend that there be a </w:t>
      </w:r>
      <w:r w:rsidRPr="002935E4">
        <w:rPr>
          <w:lang w:eastAsia="en-AU"/>
        </w:rPr>
        <w:t>legislated requirement for an independent evaluation tabled in P</w:t>
      </w:r>
      <w:r>
        <w:rPr>
          <w:lang w:eastAsia="en-AU"/>
        </w:rPr>
        <w:t xml:space="preserve">arliament. We </w:t>
      </w:r>
      <w:r w:rsidRPr="005C6A18">
        <w:rPr>
          <w:lang w:eastAsia="en-AU"/>
        </w:rPr>
        <w:t>believe three years is sufficient time to enable lengthy trials to commence and complete within the evaluation period</w:t>
      </w:r>
      <w:r>
        <w:rPr>
          <w:lang w:eastAsia="en-AU"/>
        </w:rPr>
        <w:t xml:space="preserve">. </w:t>
      </w:r>
    </w:p>
    <w:p w14:paraId="4CB98803" w14:textId="77777777" w:rsidR="000A02A5" w:rsidRDefault="00633B81" w:rsidP="00633B81">
      <w:pPr>
        <w:pStyle w:val="VLADocumentText"/>
        <w:rPr>
          <w:lang w:eastAsia="en-AU"/>
        </w:rPr>
        <w:sectPr w:rsidR="000A02A5" w:rsidSect="00BF6480">
          <w:headerReference w:type="even" r:id="rId18"/>
          <w:headerReference w:type="first" r:id="rId19"/>
          <w:footerReference w:type="first" r:id="rId20"/>
          <w:pgSz w:w="11906" w:h="16838" w:code="9"/>
          <w:pgMar w:top="1304" w:right="1134" w:bottom="1418" w:left="1418" w:header="680" w:footer="680" w:gutter="0"/>
          <w:paperSrc w:first="1512" w:other="1512"/>
          <w:pgNumType w:start="1"/>
          <w:cols w:space="720"/>
          <w:titlePg/>
          <w:docGrid w:linePitch="299"/>
        </w:sectPr>
      </w:pPr>
      <w:r>
        <w:rPr>
          <w:lang w:eastAsia="en-AU"/>
        </w:rPr>
        <w:t xml:space="preserve">As noted above, there are significant gaps in the data described in the issues paper, likely due to gaps in data collection and extraction from the courts’ systems. We note that these inadequacies should be addressed in advance of the commencement of any reforms, such that the evaluation can properly measure and consider the impact of the reforms. </w:t>
      </w:r>
    </w:p>
    <w:p w14:paraId="244583F3" w14:textId="6E4686A4" w:rsidR="00633B81" w:rsidRDefault="006D6B35" w:rsidP="000A02A5">
      <w:pPr>
        <w:pStyle w:val="Heading1"/>
        <w:spacing w:before="0"/>
      </w:pPr>
      <w:bookmarkStart w:id="127" w:name="_Toc17050707"/>
      <w:bookmarkStart w:id="128" w:name="_Toc17155125"/>
      <w:r w:rsidRPr="006D6B35">
        <w:lastRenderedPageBreak/>
        <w:t>A</w:t>
      </w:r>
      <w:r w:rsidRPr="003B4389">
        <w:t xml:space="preserve">ppendix A </w:t>
      </w:r>
      <w:r w:rsidRPr="003D4AF1">
        <w:t xml:space="preserve">– Example </w:t>
      </w:r>
      <w:r w:rsidR="00B21E7D">
        <w:t>F</w:t>
      </w:r>
      <w:r w:rsidRPr="003D4AF1">
        <w:t>orm</w:t>
      </w:r>
      <w:bookmarkEnd w:id="127"/>
      <w:bookmarkEnd w:id="128"/>
      <w:r w:rsidR="00B21E7D">
        <w:t xml:space="preserve"> 32</w:t>
      </w:r>
    </w:p>
    <w:p w14:paraId="22A82250" w14:textId="40214A7F" w:rsidR="00B90504" w:rsidRPr="00B90504" w:rsidRDefault="00B90504" w:rsidP="00B90504">
      <w:pPr>
        <w:rPr>
          <w:lang w:eastAsia="en-AU"/>
        </w:rPr>
      </w:pPr>
      <w:r>
        <w:rPr>
          <w:lang w:eastAsia="en-AU"/>
        </w:rPr>
        <w:t>Not published in accessible format for confidentiality reasons</w:t>
      </w:r>
    </w:p>
    <w:sectPr w:rsidR="00B90504" w:rsidRPr="00B90504" w:rsidSect="00BF6480">
      <w:footerReference w:type="default" r:id="rId21"/>
      <w:footerReference w:type="first" r:id="rId22"/>
      <w:pgSz w:w="11906" w:h="16838" w:code="9"/>
      <w:pgMar w:top="1304" w:right="1134" w:bottom="1418" w:left="1418" w:header="680" w:footer="680" w:gutter="0"/>
      <w:paperSrc w:first="1512" w:other="1512"/>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037E" w14:textId="77777777" w:rsidR="007B27CA" w:rsidRDefault="007B27CA">
      <w:r>
        <w:separator/>
      </w:r>
    </w:p>
    <w:p w14:paraId="5EAEDAC7" w14:textId="77777777" w:rsidR="007B27CA" w:rsidRDefault="007B27CA"/>
    <w:p w14:paraId="750BF49C" w14:textId="77777777" w:rsidR="007B27CA" w:rsidRDefault="007B27CA"/>
  </w:endnote>
  <w:endnote w:type="continuationSeparator" w:id="0">
    <w:p w14:paraId="1F0726EC" w14:textId="77777777" w:rsidR="007B27CA" w:rsidRDefault="007B27CA">
      <w:r>
        <w:continuationSeparator/>
      </w:r>
    </w:p>
    <w:p w14:paraId="706CDED5" w14:textId="77777777" w:rsidR="007B27CA" w:rsidRDefault="007B27CA"/>
    <w:p w14:paraId="1BAD8CF0" w14:textId="77777777" w:rsidR="007B27CA" w:rsidRDefault="007B27CA"/>
  </w:endnote>
  <w:endnote w:type="continuationNotice" w:id="1">
    <w:p w14:paraId="07B71684" w14:textId="77777777" w:rsidR="007B27CA" w:rsidRDefault="007B27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7D8E" w14:textId="77777777" w:rsidR="00241E56" w:rsidRDefault="00241E56"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41D5" w14:textId="68B26A0D" w:rsidR="00241E56" w:rsidRDefault="00241E56" w:rsidP="00E6688C">
    <w:pPr>
      <w:pStyle w:val="VLAdivision"/>
    </w:pPr>
    <w:r>
      <w:t>Victoria Legal Aid</w:t>
    </w:r>
  </w:p>
  <w:p w14:paraId="2962FF76" w14:textId="066A46F7" w:rsidR="00241E56" w:rsidRDefault="00241E56" w:rsidP="00DE2175">
    <w:pPr>
      <w:pStyle w:val="Confidentialityclause"/>
      <w:spacing w:before="1000"/>
      <w:rPr>
        <w:bCs w:val="0"/>
      </w:rPr>
    </w:pPr>
    <w:r w:rsidRPr="005D5637">
      <w:rPr>
        <w:rFonts w:cs="Arial"/>
        <w:color w:val="971A4B"/>
      </w:rPr>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1E0F3E">
      <w:rPr>
        <w:noProof/>
        <w:color w:val="971A4B"/>
      </w:rPr>
      <w:t>2019</w:t>
    </w:r>
    <w:r w:rsidRPr="005D5637">
      <w:rPr>
        <w:color w:val="971A4B"/>
      </w:rPr>
      <w:fldChar w:fldCharType="end"/>
    </w:r>
    <w:r w:rsidRPr="005D5637">
      <w:rPr>
        <w:color w:val="971A4B"/>
      </w:rPr>
      <w:t xml:space="preserve"> Victoria Legal Aid.</w:t>
    </w:r>
    <w:r>
      <w:t xml:space="preserve"> </w:t>
    </w:r>
    <w:r w:rsidRPr="006E2882">
      <w:rPr>
        <w:bCs w:val="0"/>
      </w:rPr>
      <w:t>Reproduction without express written permission is prohibited</w:t>
    </w:r>
    <w:r>
      <w:rPr>
        <w:bCs w:val="0"/>
      </w:rPr>
      <w:t>.</w:t>
    </w:r>
  </w:p>
  <w:p w14:paraId="1F9B71A1" w14:textId="51C8E34E" w:rsidR="00241E56" w:rsidRPr="00DE2175" w:rsidRDefault="00241E56" w:rsidP="00DE2175">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Pr="00495ED9">
      <w:rPr>
        <w:rFonts w:cs="Arial"/>
        <w:szCs w:val="18"/>
      </w:rPr>
      <w:t>Level 9, 570 Bourke</w:t>
    </w:r>
    <w:r>
      <w:rPr>
        <w:rFonts w:cs="Arial"/>
        <w:sz w:val="16"/>
      </w:rPr>
      <w:t xml:space="preserve"> </w:t>
    </w:r>
    <w:r w:rsidRPr="006E2882">
      <w:rPr>
        <w:bCs w:val="0"/>
      </w:rPr>
      <w:t>Street, Melbourne Vic</w:t>
    </w:r>
    <w:r>
      <w:rPr>
        <w:bCs w:val="0"/>
      </w:rPr>
      <w:t xml:space="preserve"> </w:t>
    </w:r>
    <w:r w:rsidRPr="006E2882">
      <w:rPr>
        <w:bCs w:val="0"/>
      </w:rPr>
      <w:t>3000.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2F8C" w14:textId="77777777" w:rsidR="00B55E6B" w:rsidRDefault="00B55E6B" w:rsidP="00B55E6B">
    <w:pPr>
      <w:pStyle w:val="Filename"/>
      <w:tabs>
        <w:tab w:val="clear" w:pos="9240"/>
        <w:tab w:val="center" w:pos="4820"/>
        <w:tab w:val="right" w:pos="9780"/>
      </w:tabs>
    </w:pPr>
    <w:r>
      <w:t xml:space="preserve">Victoria Legal Aid </w:t>
    </w:r>
    <w:r>
      <w:tab/>
      <w:t xml:space="preserve">Submission to the VLRC Review of Committals </w:t>
    </w:r>
    <w:r>
      <w:tab/>
      <w:t>August 2019</w:t>
    </w:r>
  </w:p>
  <w:p w14:paraId="0C9AB6B9" w14:textId="05D4399B" w:rsidR="00241E56" w:rsidRPr="00B55E6B" w:rsidRDefault="00B55E6B" w:rsidP="00B55E6B">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4F3C" w14:textId="77777777" w:rsidR="00241E56" w:rsidRDefault="00241E56" w:rsidP="00CC3A4F">
    <w:pPr>
      <w:pStyle w:val="Filename"/>
      <w:tabs>
        <w:tab w:val="clear" w:pos="9240"/>
        <w:tab w:val="center" w:pos="4820"/>
        <w:tab w:val="right" w:pos="9780"/>
      </w:tabs>
    </w:pPr>
    <w:r>
      <w:t xml:space="preserve">Victoria Legal Aid </w:t>
    </w:r>
    <w:r>
      <w:tab/>
      <w:t xml:space="preserve">Submission to the VLRC Review of Committals </w:t>
    </w:r>
    <w:r>
      <w:tab/>
      <w:t>August 2019</w:t>
    </w:r>
  </w:p>
  <w:p w14:paraId="2B3B34D1" w14:textId="77777777" w:rsidR="00241E56" w:rsidRPr="002B4970" w:rsidRDefault="00241E56"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CF43" w14:textId="2371C29A" w:rsidR="00B55E6B" w:rsidRPr="0026685E" w:rsidRDefault="0026685E" w:rsidP="0026685E">
    <w:pPr>
      <w:pStyle w:val="Footer"/>
      <w:pBdr>
        <w:top w:val="single" w:sz="4" w:space="1" w:color="auto"/>
      </w:pBdr>
      <w:tabs>
        <w:tab w:val="clear" w:pos="8306"/>
        <w:tab w:val="right" w:pos="9214"/>
      </w:tabs>
      <w:rPr>
        <w:sz w:val="20"/>
        <w:szCs w:val="20"/>
        <w:lang w:val="en-US"/>
      </w:rPr>
    </w:pPr>
    <w:r w:rsidRPr="0026685E">
      <w:rPr>
        <w:sz w:val="20"/>
        <w:szCs w:val="20"/>
        <w:lang w:val="en-US"/>
      </w:rPr>
      <w:t>APPENDIX A – Deidentified Form 32</w:t>
    </w:r>
    <w:r>
      <w:rPr>
        <w:sz w:val="20"/>
        <w:szCs w:val="20"/>
        <w:lang w:val="en-US"/>
      </w:rPr>
      <w:tab/>
    </w:r>
    <w:r>
      <w:rPr>
        <w:sz w:val="20"/>
        <w:szCs w:val="20"/>
        <w:lang w:val="en-US"/>
      </w:rPr>
      <w:tab/>
    </w:r>
    <w:r w:rsidRPr="0026685E">
      <w:rPr>
        <w:sz w:val="20"/>
        <w:szCs w:val="20"/>
        <w:lang w:val="en-US"/>
      </w:rPr>
      <w:fldChar w:fldCharType="begin"/>
    </w:r>
    <w:r w:rsidRPr="0026685E">
      <w:rPr>
        <w:sz w:val="20"/>
        <w:szCs w:val="20"/>
        <w:lang w:val="en-US"/>
      </w:rPr>
      <w:instrText xml:space="preserve"> PAGE   \* MERGEFORMAT </w:instrText>
    </w:r>
    <w:r w:rsidRPr="0026685E">
      <w:rPr>
        <w:sz w:val="20"/>
        <w:szCs w:val="20"/>
        <w:lang w:val="en-US"/>
      </w:rPr>
      <w:fldChar w:fldCharType="separate"/>
    </w:r>
    <w:r w:rsidRPr="0026685E">
      <w:rPr>
        <w:noProof/>
        <w:sz w:val="20"/>
        <w:szCs w:val="20"/>
        <w:lang w:val="en-US"/>
      </w:rPr>
      <w:t>1</w:t>
    </w:r>
    <w:r w:rsidRPr="0026685E">
      <w:rPr>
        <w:noProof/>
        <w:sz w:val="20"/>
        <w:szCs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6B76" w14:textId="70067F9B" w:rsidR="00241E56" w:rsidRPr="00D22970" w:rsidRDefault="00241E56" w:rsidP="00D2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01D3E" w14:textId="77777777" w:rsidR="007B27CA" w:rsidRPr="00E9228F" w:rsidRDefault="007B27CA" w:rsidP="00E9228F">
      <w:pPr>
        <w:rPr>
          <w:sz w:val="18"/>
          <w:szCs w:val="18"/>
        </w:rPr>
      </w:pPr>
      <w:r w:rsidRPr="006831FC">
        <w:rPr>
          <w:sz w:val="18"/>
        </w:rPr>
        <w:separator/>
      </w:r>
    </w:p>
  </w:footnote>
  <w:footnote w:type="continuationSeparator" w:id="0">
    <w:p w14:paraId="146C0A5E" w14:textId="77777777" w:rsidR="007B27CA" w:rsidRDefault="007B27CA">
      <w:r>
        <w:continuationSeparator/>
      </w:r>
    </w:p>
    <w:p w14:paraId="0FD67358" w14:textId="77777777" w:rsidR="007B27CA" w:rsidRDefault="007B27CA"/>
    <w:p w14:paraId="3113BD7A" w14:textId="77777777" w:rsidR="007B27CA" w:rsidRDefault="007B27CA"/>
  </w:footnote>
  <w:footnote w:type="continuationNotice" w:id="1">
    <w:p w14:paraId="32069A9C" w14:textId="77777777" w:rsidR="007B27CA" w:rsidRDefault="007B27CA">
      <w:pPr>
        <w:spacing w:line="240" w:lineRule="auto"/>
      </w:pPr>
    </w:p>
  </w:footnote>
  <w:footnote w:id="2">
    <w:p w14:paraId="1A8736D8" w14:textId="77777777" w:rsidR="00241E56" w:rsidRPr="00B92EFF" w:rsidRDefault="00241E56" w:rsidP="009B0D35">
      <w:pPr>
        <w:pStyle w:val="FootnoteText"/>
      </w:pPr>
      <w:r w:rsidRPr="00B92EFF">
        <w:rPr>
          <w:rStyle w:val="FootnoteReference"/>
        </w:rPr>
        <w:footnoteRef/>
      </w:r>
      <w:r w:rsidRPr="00B92EFF">
        <w:t xml:space="preserve"> Victorian Law Reform Commission, </w:t>
      </w:r>
      <w:r w:rsidRPr="00B92EFF">
        <w:rPr>
          <w:i/>
        </w:rPr>
        <w:t>Committals Issues Paper</w:t>
      </w:r>
      <w:r w:rsidRPr="00B92EFF">
        <w:t>, June 2019.</w:t>
      </w:r>
    </w:p>
  </w:footnote>
  <w:footnote w:id="3">
    <w:p w14:paraId="24914C5F" w14:textId="163FED53" w:rsidR="00241E56" w:rsidRPr="00B92EFF" w:rsidRDefault="00241E56" w:rsidP="00F9673C">
      <w:pPr>
        <w:pStyle w:val="FootnoteText"/>
        <w:rPr>
          <w:lang w:val="en-US"/>
        </w:rPr>
      </w:pPr>
      <w:r w:rsidRPr="00B92EFF">
        <w:rPr>
          <w:rStyle w:val="FootnoteReference"/>
        </w:rPr>
        <w:footnoteRef/>
      </w:r>
      <w:r w:rsidRPr="00B92EFF">
        <w:t xml:space="preserve"> </w:t>
      </w:r>
      <w:r w:rsidRPr="00B92EFF">
        <w:rPr>
          <w:lang w:val="en-US"/>
        </w:rPr>
        <w:t xml:space="preserve">Director of Public Prosecution and Office of Public Prosecutions Victoria, </w:t>
      </w:r>
      <w:r w:rsidRPr="00B92EFF">
        <w:rPr>
          <w:i/>
          <w:iCs/>
          <w:lang w:val="en-US"/>
        </w:rPr>
        <w:t>Annual Report</w:t>
      </w:r>
      <w:r w:rsidRPr="00B92EFF">
        <w:rPr>
          <w:lang w:val="en-US"/>
        </w:rPr>
        <w:t xml:space="preserve"> 2017-18, 12.</w:t>
      </w:r>
    </w:p>
  </w:footnote>
  <w:footnote w:id="4">
    <w:p w14:paraId="22DF6763" w14:textId="08416868" w:rsidR="00241E56" w:rsidRPr="00B92EFF" w:rsidRDefault="00241E56" w:rsidP="009C78D6">
      <w:pPr>
        <w:pStyle w:val="FootnoteText"/>
        <w:spacing w:before="40" w:line="260" w:lineRule="atLeast"/>
        <w:rPr>
          <w:rStyle w:val="FootnoteReference"/>
        </w:rPr>
      </w:pPr>
      <w:r w:rsidRPr="00B92EFF">
        <w:rPr>
          <w:rStyle w:val="FootnoteReference"/>
          <w:rFonts w:cs="Arial"/>
        </w:rPr>
        <w:footnoteRef/>
      </w:r>
      <w:r w:rsidRPr="00B92EFF">
        <w:rPr>
          <w:rFonts w:cs="Arial"/>
        </w:rPr>
        <w:t xml:space="preserve"> </w:t>
      </w:r>
      <w:r w:rsidRPr="00B92EFF">
        <w:rPr>
          <w:lang w:val="en-US"/>
        </w:rPr>
        <w:t xml:space="preserve">Victoria Legal Aid, </w:t>
      </w:r>
      <w:r w:rsidRPr="003D4AF1">
        <w:rPr>
          <w:i/>
          <w:lang w:val="en-US"/>
        </w:rPr>
        <w:t xml:space="preserve">Annual Report </w:t>
      </w:r>
      <w:r w:rsidRPr="00B92EFF">
        <w:rPr>
          <w:lang w:val="en-US"/>
        </w:rPr>
        <w:t xml:space="preserve">2017-18, 12. </w:t>
      </w:r>
    </w:p>
  </w:footnote>
  <w:footnote w:id="5">
    <w:p w14:paraId="26C15D3A" w14:textId="39F2E8E7" w:rsidR="00241E56" w:rsidRPr="00B92EFF" w:rsidRDefault="00241E56" w:rsidP="002645FE">
      <w:pPr>
        <w:pStyle w:val="FootnoteText"/>
        <w:rPr>
          <w:lang w:val="en-US"/>
        </w:rPr>
      </w:pPr>
      <w:r w:rsidRPr="00B92EFF">
        <w:rPr>
          <w:rStyle w:val="FootnoteReference"/>
        </w:rPr>
        <w:footnoteRef/>
      </w:r>
      <w:r w:rsidRPr="00B92EFF">
        <w:t xml:space="preserve"> Under the summary crime guidelines </w:t>
      </w:r>
      <w:r w:rsidRPr="00B92EFF">
        <w:rPr>
          <w:lang w:val="en-US"/>
        </w:rPr>
        <w:t xml:space="preserve">assistance may only be </w:t>
      </w:r>
      <w:r w:rsidRPr="00B92EFF">
        <w:t>granted</w:t>
      </w:r>
      <w:r w:rsidRPr="00B92EFF">
        <w:rPr>
          <w:lang w:val="en-US"/>
        </w:rPr>
        <w:t xml:space="preserve"> where conviction is likely to result in a term of immediate imprisonment, </w:t>
      </w:r>
      <w:r w:rsidRPr="003D4AF1">
        <w:rPr>
          <w:i/>
          <w:lang w:val="en-US"/>
        </w:rPr>
        <w:t>Victoria Legal Aid Handbook for Lawyers</w:t>
      </w:r>
      <w:r w:rsidRPr="00B92EFF">
        <w:rPr>
          <w:lang w:val="en-US"/>
        </w:rPr>
        <w:t>, Guidelines 1.1. and 1.2.</w:t>
      </w:r>
    </w:p>
  </w:footnote>
  <w:footnote w:id="6">
    <w:p w14:paraId="6322522F" w14:textId="36DDB6C4" w:rsidR="00241E56" w:rsidRPr="003D4AF1" w:rsidRDefault="00241E56" w:rsidP="003D4AF1">
      <w:pPr>
        <w:pStyle w:val="FootnoteText"/>
      </w:pPr>
      <w:r w:rsidRPr="00B92EFF">
        <w:rPr>
          <w:rStyle w:val="FootnoteReference"/>
        </w:rPr>
        <w:footnoteRef/>
      </w:r>
      <w:r w:rsidRPr="00B92EFF">
        <w:t xml:space="preserve"> </w:t>
      </w:r>
      <w:r w:rsidRPr="00B92EFF">
        <w:rPr>
          <w:i/>
          <w:iCs/>
          <w:lang w:val="en-US"/>
        </w:rPr>
        <w:t>Ibid</w:t>
      </w:r>
      <w:r w:rsidRPr="00B92EFF">
        <w:rPr>
          <w:i/>
          <w:lang w:val="en-US"/>
        </w:rPr>
        <w:t xml:space="preserve"> </w:t>
      </w:r>
      <w:r w:rsidRPr="00B92EFF">
        <w:rPr>
          <w:lang w:val="en-US"/>
        </w:rPr>
        <w:t xml:space="preserve">Guidelines 3.1, 3.2, 4 </w:t>
      </w:r>
      <w:r w:rsidRPr="00B92EFF">
        <w:t>and</w:t>
      </w:r>
      <w:r w:rsidRPr="00B92EFF">
        <w:rPr>
          <w:lang w:val="en-US"/>
        </w:rPr>
        <w:t xml:space="preserve"> 4.1. </w:t>
      </w:r>
    </w:p>
  </w:footnote>
  <w:footnote w:id="7">
    <w:p w14:paraId="36B7C64B" w14:textId="01413E42" w:rsidR="00241E56" w:rsidRPr="00B92EFF" w:rsidRDefault="00241E56" w:rsidP="002A1E40">
      <w:pPr>
        <w:pStyle w:val="FootnoteText"/>
      </w:pPr>
      <w:r w:rsidRPr="00B92EFF">
        <w:rPr>
          <w:rStyle w:val="FootnoteReference"/>
        </w:rPr>
        <w:footnoteRef/>
      </w:r>
      <w:r w:rsidRPr="00B92EFF">
        <w:t xml:space="preserve"> </w:t>
      </w:r>
      <w:r w:rsidRPr="00B92EFF">
        <w:rPr>
          <w:i/>
        </w:rPr>
        <w:t>Criminal Procedure Act 2009</w:t>
      </w:r>
      <w:r w:rsidRPr="00B92EFF">
        <w:rPr>
          <w:i/>
          <w:iCs/>
        </w:rPr>
        <w:t xml:space="preserve"> </w:t>
      </w:r>
      <w:r w:rsidRPr="00B92EFF">
        <w:t>(Vic), s</w:t>
      </w:r>
      <w:r>
        <w:t xml:space="preserve"> </w:t>
      </w:r>
      <w:r w:rsidRPr="00B92EFF">
        <w:t>197.</w:t>
      </w:r>
    </w:p>
  </w:footnote>
  <w:footnote w:id="8">
    <w:p w14:paraId="433EF055" w14:textId="3663FF8F" w:rsidR="00241E56" w:rsidRPr="00B92EFF" w:rsidRDefault="00241E56" w:rsidP="002645FE">
      <w:pPr>
        <w:pStyle w:val="FootnoteText"/>
        <w:rPr>
          <w:lang w:val="en-US"/>
        </w:rPr>
      </w:pPr>
      <w:r w:rsidRPr="00B92EFF">
        <w:rPr>
          <w:rStyle w:val="FootnoteReference"/>
        </w:rPr>
        <w:footnoteRef/>
      </w:r>
      <w:r w:rsidRPr="00B92EFF">
        <w:t xml:space="preserve"> Victoria Legal Aid, </w:t>
      </w:r>
      <w:r w:rsidRPr="003D4AF1">
        <w:rPr>
          <w:i/>
        </w:rPr>
        <w:t>Delivering High Quality Criminal Trials: Consultation and Options Paper</w:t>
      </w:r>
      <w:r w:rsidRPr="00B92EFF">
        <w:t>, January 2014, 4.</w:t>
      </w:r>
      <w:r>
        <w:t xml:space="preserve"> For more information see &lt;</w:t>
      </w:r>
      <w:hyperlink r:id="rId1" w:history="1">
        <w:r w:rsidRPr="00C56207">
          <w:rPr>
            <w:rStyle w:val="Hyperlink"/>
          </w:rPr>
          <w:t>https://www.legalaid.vic.gov.au/information-for-lawyers/doing-legal-aid-work/delivering-high-quality-criminal-trials</w:t>
        </w:r>
      </w:hyperlink>
      <w:r w:rsidRPr="003D4AF1">
        <w:rPr>
          <w:lang w:val="en-US"/>
        </w:rPr>
        <w:t>&gt;</w:t>
      </w:r>
    </w:p>
  </w:footnote>
  <w:footnote w:id="9">
    <w:p w14:paraId="66D86C5C" w14:textId="55C5FC74" w:rsidR="00241E56" w:rsidRPr="00B92EFF" w:rsidRDefault="00241E56" w:rsidP="00A43731">
      <w:pPr>
        <w:pStyle w:val="FootnoteText"/>
        <w:rPr>
          <w:lang w:val="en-US"/>
        </w:rPr>
      </w:pPr>
      <w:r w:rsidRPr="00B92EFF">
        <w:rPr>
          <w:rStyle w:val="FootnoteReference"/>
        </w:rPr>
        <w:footnoteRef/>
      </w:r>
      <w:r w:rsidRPr="00B92EFF">
        <w:t xml:space="preserve"> Victoria Legal Aid, </w:t>
      </w:r>
      <w:r w:rsidRPr="003F6671">
        <w:t xml:space="preserve">above </w:t>
      </w:r>
      <w:r w:rsidRPr="4BE08E52">
        <w:t xml:space="preserve">n </w:t>
      </w:r>
      <w:r>
        <w:fldChar w:fldCharType="begin"/>
      </w:r>
      <w:r>
        <w:instrText xml:space="preserve"> NOTEREF _Ref17105446 \h </w:instrText>
      </w:r>
      <w:r>
        <w:fldChar w:fldCharType="separate"/>
      </w:r>
      <w:r w:rsidR="00372623">
        <w:t>3</w:t>
      </w:r>
      <w:r>
        <w:fldChar w:fldCharType="end"/>
      </w:r>
      <w:r w:rsidRPr="4BE08E52">
        <w:t>,</w:t>
      </w:r>
      <w:r w:rsidRPr="00B92EFF">
        <w:t xml:space="preserve"> 39.</w:t>
      </w:r>
    </w:p>
  </w:footnote>
  <w:footnote w:id="10">
    <w:p w14:paraId="2D3B4C4D" w14:textId="1AB26B4D" w:rsidR="00241E56" w:rsidRPr="00B92EFF" w:rsidRDefault="00241E56">
      <w:pPr>
        <w:pStyle w:val="FootnoteText"/>
        <w:rPr>
          <w:lang w:val="en-US"/>
        </w:rPr>
      </w:pPr>
      <w:r w:rsidRPr="00B92EFF">
        <w:rPr>
          <w:rStyle w:val="FootnoteReference"/>
        </w:rPr>
        <w:footnoteRef/>
      </w:r>
      <w:r w:rsidRPr="00B92EFF">
        <w:t xml:space="preserve"> Unreported </w:t>
      </w:r>
      <w:r w:rsidRPr="00B92EFF">
        <w:rPr>
          <w:lang w:val="en-US"/>
        </w:rPr>
        <w:t>VLA data, approximate only. Includes appearance fees and preparation.</w:t>
      </w:r>
    </w:p>
  </w:footnote>
  <w:footnote w:id="11">
    <w:p w14:paraId="17C1FE0F" w14:textId="7BAD9FFD" w:rsidR="00241E56" w:rsidRPr="00B92EFF" w:rsidRDefault="00241E56" w:rsidP="00A43731">
      <w:pPr>
        <w:pStyle w:val="FootnoteText"/>
        <w:rPr>
          <w:lang w:val="en-US"/>
        </w:rPr>
      </w:pPr>
      <w:r w:rsidRPr="00B92EFF">
        <w:rPr>
          <w:rStyle w:val="FootnoteReference"/>
        </w:rPr>
        <w:footnoteRef/>
      </w:r>
      <w:r w:rsidRPr="00B92EFF">
        <w:t xml:space="preserve"> Victoria Legal Aid, </w:t>
      </w:r>
      <w:r w:rsidRPr="003F6671">
        <w:t xml:space="preserve">above </w:t>
      </w:r>
      <w:r w:rsidRPr="003D4AF1">
        <w:t xml:space="preserve">n </w:t>
      </w:r>
      <w:r>
        <w:fldChar w:fldCharType="begin"/>
      </w:r>
      <w:r>
        <w:instrText xml:space="preserve"> NOTEREF _Ref17105446 \h </w:instrText>
      </w:r>
      <w:r>
        <w:fldChar w:fldCharType="separate"/>
      </w:r>
      <w:r w:rsidR="00372623">
        <w:t>3</w:t>
      </w:r>
      <w:r>
        <w:fldChar w:fldCharType="end"/>
      </w:r>
      <w:r w:rsidRPr="00B92EFF">
        <w:rPr>
          <w:i/>
        </w:rPr>
        <w:t>,</w:t>
      </w:r>
      <w:r w:rsidRPr="00B92EFF">
        <w:t xml:space="preserve"> 39.</w:t>
      </w:r>
    </w:p>
  </w:footnote>
  <w:footnote w:id="12">
    <w:p w14:paraId="083C49DD" w14:textId="7326E421" w:rsidR="00241E56" w:rsidRPr="00B92EFF" w:rsidRDefault="00241E56" w:rsidP="00A43731">
      <w:pPr>
        <w:pStyle w:val="FootnoteText"/>
      </w:pPr>
      <w:r w:rsidRPr="00B92EFF">
        <w:rPr>
          <w:rStyle w:val="FootnoteReference"/>
        </w:rPr>
        <w:footnoteRef/>
      </w:r>
      <w:r w:rsidRPr="00B92EFF">
        <w:t xml:space="preserve"> Victoria Legal Aid, </w:t>
      </w:r>
      <w:r w:rsidRPr="003F6671">
        <w:t xml:space="preserve">above n </w:t>
      </w:r>
      <w:bookmarkStart w:id="15" w:name="_Hlt17106261"/>
      <w:bookmarkStart w:id="16" w:name="_Hlt17106262"/>
      <w:r>
        <w:fldChar w:fldCharType="begin"/>
      </w:r>
      <w:r>
        <w:instrText xml:space="preserve"> NOTEREF _Ref17105446 \h </w:instrText>
      </w:r>
      <w:r>
        <w:fldChar w:fldCharType="separate"/>
      </w:r>
      <w:r w:rsidR="00372623">
        <w:t>3</w:t>
      </w:r>
      <w:r>
        <w:fldChar w:fldCharType="end"/>
      </w:r>
      <w:bookmarkEnd w:id="15"/>
      <w:bookmarkEnd w:id="16"/>
      <w:r w:rsidRPr="00B92EFF">
        <w:rPr>
          <w:i/>
        </w:rPr>
        <w:t>,</w:t>
      </w:r>
      <w:r w:rsidRPr="00B92EFF">
        <w:t xml:space="preserve"> 38.</w:t>
      </w:r>
    </w:p>
  </w:footnote>
  <w:footnote w:id="13">
    <w:p w14:paraId="72165E36" w14:textId="1D86AF7B" w:rsidR="00241E56" w:rsidRPr="003D4AF1" w:rsidRDefault="00241E56">
      <w:pPr>
        <w:pStyle w:val="FootnoteText"/>
        <w:rPr>
          <w:lang w:val="en-US"/>
        </w:rPr>
      </w:pPr>
      <w:r>
        <w:rPr>
          <w:rStyle w:val="FootnoteReference"/>
        </w:rPr>
        <w:footnoteRef/>
      </w:r>
      <w:r>
        <w:t xml:space="preserve"> </w:t>
      </w:r>
      <w:r>
        <w:rPr>
          <w:lang w:val="en-US"/>
        </w:rPr>
        <w:t xml:space="preserve">Criminal Procedure Act 2009, </w:t>
      </w:r>
      <w:r w:rsidRPr="003D4AF1">
        <w:rPr>
          <w:lang w:val="en-US"/>
        </w:rPr>
        <w:t>s 97(d)(ii).</w:t>
      </w:r>
    </w:p>
  </w:footnote>
  <w:footnote w:id="14">
    <w:p w14:paraId="50775286" w14:textId="475CE561" w:rsidR="00241E56" w:rsidRDefault="00241E56" w:rsidP="00B40571">
      <w:pPr>
        <w:pStyle w:val="FootnoteText"/>
      </w:pPr>
      <w:r w:rsidRPr="00B40571">
        <w:rPr>
          <w:rStyle w:val="FootnoteReference"/>
        </w:rPr>
        <w:footnoteRef/>
      </w:r>
      <w:r w:rsidRPr="542139FF">
        <w:t xml:space="preserve"> </w:t>
      </w:r>
      <w:r w:rsidRPr="003D4AF1">
        <w:rPr>
          <w:i/>
        </w:rPr>
        <w:t>Justice Legislation Miscellaneous Amendment Act</w:t>
      </w:r>
      <w:r w:rsidRPr="00B40571">
        <w:rPr>
          <w:i/>
        </w:rPr>
        <w:t xml:space="preserve"> 2018</w:t>
      </w:r>
      <w:r w:rsidRPr="4DCA30B4">
        <w:t>, No</w:t>
      </w:r>
      <w:r>
        <w:t xml:space="preserve"> </w:t>
      </w:r>
      <w:r w:rsidRPr="4DCA30B4">
        <w:t>4/2018</w:t>
      </w:r>
      <w:r>
        <w:t>.</w:t>
      </w:r>
    </w:p>
  </w:footnote>
  <w:footnote w:id="15">
    <w:p w14:paraId="2A96D81E" w14:textId="77777777" w:rsidR="00241E56" w:rsidRDefault="00241E56" w:rsidP="00260BB6">
      <w:pPr>
        <w:pStyle w:val="FootnoteText"/>
      </w:pPr>
      <w:r>
        <w:rPr>
          <w:rStyle w:val="FootnoteReference"/>
        </w:rPr>
        <w:footnoteRef/>
      </w:r>
      <w:r>
        <w:t xml:space="preserve"> </w:t>
      </w:r>
      <w:r w:rsidRPr="007A01D4">
        <w:rPr>
          <w:i/>
          <w:iCs/>
        </w:rPr>
        <w:t xml:space="preserve">Director </w:t>
      </w:r>
      <w:r>
        <w:rPr>
          <w:i/>
          <w:iCs/>
        </w:rPr>
        <w:t>o</w:t>
      </w:r>
      <w:r w:rsidRPr="007A01D4">
        <w:rPr>
          <w:i/>
          <w:iCs/>
        </w:rPr>
        <w:t>f Public Prosecutions Reference No 1 of 2017</w:t>
      </w:r>
      <w:r w:rsidRPr="00F35C51">
        <w:t xml:space="preserve"> [2019] HCA 9</w:t>
      </w:r>
      <w:r>
        <w:t>.</w:t>
      </w:r>
    </w:p>
  </w:footnote>
  <w:footnote w:id="16">
    <w:p w14:paraId="2859DECC" w14:textId="7AEC7FD1" w:rsidR="00241E56" w:rsidRPr="00B92EFF" w:rsidRDefault="00241E56" w:rsidP="00BE031A">
      <w:pPr>
        <w:pStyle w:val="FootnoteText"/>
      </w:pPr>
      <w:r w:rsidRPr="00B92EFF">
        <w:rPr>
          <w:rStyle w:val="FootnoteReference"/>
        </w:rPr>
        <w:footnoteRef/>
      </w:r>
      <w:r w:rsidRPr="00B92EFF">
        <w:t xml:space="preserve"> NSW Law Reform Commission, </w:t>
      </w:r>
      <w:r w:rsidRPr="00B92EFF">
        <w:rPr>
          <w:i/>
        </w:rPr>
        <w:t>Report 141 Encouraging appropriate early guilty pleas</w:t>
      </w:r>
      <w:r w:rsidRPr="00B92EFF">
        <w:t xml:space="preserve">, December </w:t>
      </w:r>
      <w:r>
        <w:t>2</w:t>
      </w:r>
      <w:r w:rsidRPr="00B92EFF">
        <w:t>014, 128.</w:t>
      </w:r>
    </w:p>
  </w:footnote>
  <w:footnote w:id="17">
    <w:p w14:paraId="1AC4EFA2" w14:textId="77777777" w:rsidR="00241E56" w:rsidRPr="00B92EFF" w:rsidRDefault="00241E56" w:rsidP="00BE031A">
      <w:pPr>
        <w:pStyle w:val="FootnoteText"/>
      </w:pPr>
      <w:r w:rsidRPr="00B92EFF">
        <w:rPr>
          <w:rStyle w:val="FootnoteReference"/>
        </w:rPr>
        <w:footnoteRef/>
      </w:r>
      <w:r w:rsidRPr="00B92EFF">
        <w:t xml:space="preserve"> Australian Law Reform Commission, </w:t>
      </w:r>
      <w:r w:rsidRPr="00B92EFF">
        <w:rPr>
          <w:i/>
        </w:rPr>
        <w:t>Pathways to Justice–Inquiry into the Incarceration Rate of Aboriginal and Torres Strait Islander Peoples</w:t>
      </w:r>
      <w:r w:rsidRPr="00B92EFF">
        <w:t xml:space="preserve"> (ALRC Report 133), 28 March 2018.</w:t>
      </w:r>
    </w:p>
  </w:footnote>
  <w:footnote w:id="18">
    <w:p w14:paraId="46F5EA11" w14:textId="48603B8F" w:rsidR="00241E56" w:rsidRPr="00B92EFF" w:rsidRDefault="00241E56" w:rsidP="00260BB6">
      <w:pPr>
        <w:pStyle w:val="FootnoteText"/>
      </w:pPr>
      <w:r w:rsidRPr="00B92EFF">
        <w:rPr>
          <w:rStyle w:val="FootnoteReference"/>
        </w:rPr>
        <w:footnoteRef/>
      </w:r>
      <w:r w:rsidRPr="00B92EFF">
        <w:t xml:space="preserve"> </w:t>
      </w:r>
      <w:r w:rsidRPr="00B92EFF">
        <w:rPr>
          <w:i/>
        </w:rPr>
        <w:t>Bail Amendment (Stage 1) Act</w:t>
      </w:r>
      <w:r w:rsidRPr="00B92EFF">
        <w:t xml:space="preserve"> </w:t>
      </w:r>
      <w:r w:rsidRPr="00B92EFF">
        <w:rPr>
          <w:i/>
        </w:rPr>
        <w:t>2018</w:t>
      </w:r>
      <w:r w:rsidRPr="00B92EFF">
        <w:rPr>
          <w:i/>
          <w:iCs/>
        </w:rPr>
        <w:t xml:space="preserve"> </w:t>
      </w:r>
      <w:r w:rsidRPr="00B92EFF">
        <w:t xml:space="preserve">(Vic); </w:t>
      </w:r>
      <w:r w:rsidRPr="00B92EFF">
        <w:rPr>
          <w:i/>
        </w:rPr>
        <w:t>Bail Amendment (Stage 2) Act 2018</w:t>
      </w:r>
      <w:r w:rsidRPr="00B92EFF">
        <w:rPr>
          <w:i/>
          <w:iCs/>
        </w:rPr>
        <w:t xml:space="preserve"> </w:t>
      </w:r>
      <w:r w:rsidRPr="00B92EFF">
        <w:t>(Vic).</w:t>
      </w:r>
    </w:p>
  </w:footnote>
  <w:footnote w:id="19">
    <w:p w14:paraId="5E660C37" w14:textId="4FBBA79A" w:rsidR="00241E56" w:rsidRPr="00B92EFF" w:rsidRDefault="00241E56" w:rsidP="004020E7">
      <w:pPr>
        <w:pStyle w:val="FootnoteText"/>
      </w:pPr>
      <w:r w:rsidRPr="00B92EFF">
        <w:rPr>
          <w:rStyle w:val="FootnoteReference"/>
        </w:rPr>
        <w:footnoteRef/>
      </w:r>
      <w:r w:rsidRPr="00B92EFF">
        <w:t xml:space="preserve"> VLA understands these matters have now been spread across the OPP, with a small specialist unit retained, such that there is </w:t>
      </w:r>
      <w:r>
        <w:t xml:space="preserve">less </w:t>
      </w:r>
      <w:r w:rsidRPr="00B92EFF">
        <w:t>consistency in these matters being identified at an early stage.</w:t>
      </w:r>
    </w:p>
  </w:footnote>
  <w:footnote w:id="20">
    <w:p w14:paraId="49629972" w14:textId="77777777" w:rsidR="00241E56" w:rsidRPr="00B92EFF" w:rsidRDefault="00241E56" w:rsidP="00260BB6">
      <w:pPr>
        <w:pStyle w:val="FootnoteText"/>
      </w:pPr>
      <w:r w:rsidRPr="00B92EFF">
        <w:rPr>
          <w:rStyle w:val="FootnoteReference"/>
        </w:rPr>
        <w:footnoteRef/>
      </w:r>
      <w:r w:rsidRPr="00B92EFF">
        <w:t xml:space="preserve"> </w:t>
      </w:r>
      <w:r w:rsidRPr="00B92EFF">
        <w:rPr>
          <w:lang w:val="en-US"/>
        </w:rPr>
        <w:t xml:space="preserve">Centre for Innovative Justice, </w:t>
      </w:r>
      <w:r w:rsidRPr="00B92EFF">
        <w:rPr>
          <w:i/>
          <w:lang w:val="en-US"/>
        </w:rPr>
        <w:t>Communicating with Victims about Resolution Decisions: A Study of Victims’ Experiences and Communication Needs</w:t>
      </w:r>
      <w:r w:rsidRPr="00B92EFF">
        <w:rPr>
          <w:lang w:val="en-US"/>
        </w:rPr>
        <w:t>, Report to the OPP Victoria, April 2019, 13.</w:t>
      </w:r>
    </w:p>
  </w:footnote>
  <w:footnote w:id="21">
    <w:p w14:paraId="66A58779" w14:textId="77777777" w:rsidR="00241E56" w:rsidRPr="00B92EFF" w:rsidRDefault="00241E56" w:rsidP="00260BB6">
      <w:pPr>
        <w:pStyle w:val="FootnoteText"/>
      </w:pPr>
      <w:r w:rsidRPr="00B92EFF">
        <w:rPr>
          <w:rStyle w:val="FootnoteReference"/>
        </w:rPr>
        <w:footnoteRef/>
      </w:r>
      <w:r w:rsidRPr="00B92EFF">
        <w:t xml:space="preserve"> </w:t>
      </w:r>
      <w:r w:rsidRPr="00B92EFF">
        <w:rPr>
          <w:i/>
        </w:rPr>
        <w:t>Ibid</w:t>
      </w:r>
      <w:r w:rsidRPr="00B92EFF">
        <w:t>, recommendation 4.</w:t>
      </w:r>
    </w:p>
  </w:footnote>
  <w:footnote w:id="22">
    <w:p w14:paraId="127B8235" w14:textId="00EDF884" w:rsidR="00241E56" w:rsidRPr="00B92EFF" w:rsidRDefault="00241E56">
      <w:pPr>
        <w:pStyle w:val="FootnoteText"/>
        <w:rPr>
          <w:lang w:val="en-US"/>
        </w:rPr>
      </w:pPr>
      <w:r w:rsidRPr="00B92EFF">
        <w:rPr>
          <w:rStyle w:val="FootnoteReference"/>
        </w:rPr>
        <w:footnoteRef/>
      </w:r>
      <w:r w:rsidRPr="00B92EFF">
        <w:t xml:space="preserve"> </w:t>
      </w:r>
      <w:r w:rsidRPr="00B92EFF">
        <w:rPr>
          <w:i/>
          <w:w w:val="105"/>
        </w:rPr>
        <w:t xml:space="preserve">Charter </w:t>
      </w:r>
      <w:r w:rsidRPr="00B92EFF">
        <w:rPr>
          <w:i/>
          <w:spacing w:val="-3"/>
          <w:w w:val="105"/>
        </w:rPr>
        <w:t xml:space="preserve">of Human </w:t>
      </w:r>
      <w:r w:rsidRPr="00B92EFF">
        <w:rPr>
          <w:i/>
          <w:w w:val="105"/>
        </w:rPr>
        <w:t xml:space="preserve">Rights and </w:t>
      </w:r>
      <w:r w:rsidRPr="00B92EFF">
        <w:rPr>
          <w:i/>
          <w:spacing w:val="-3"/>
          <w:w w:val="105"/>
        </w:rPr>
        <w:t xml:space="preserve">Responsibilities </w:t>
      </w:r>
      <w:r w:rsidRPr="00B92EFF">
        <w:rPr>
          <w:i/>
          <w:w w:val="105"/>
        </w:rPr>
        <w:t xml:space="preserve">Act 2006 </w:t>
      </w:r>
      <w:r w:rsidRPr="00B92EFF">
        <w:rPr>
          <w:w w:val="105"/>
        </w:rPr>
        <w:t xml:space="preserve">(Vic) s 25 recognises </w:t>
      </w:r>
      <w:r w:rsidRPr="00B92EFF">
        <w:rPr>
          <w:spacing w:val="-3"/>
          <w:w w:val="105"/>
        </w:rPr>
        <w:t xml:space="preserve">that </w:t>
      </w:r>
      <w:r w:rsidRPr="00B92EFF">
        <w:rPr>
          <w:w w:val="105"/>
        </w:rPr>
        <w:t xml:space="preserve">a person </w:t>
      </w:r>
      <w:r w:rsidRPr="00B92EFF">
        <w:rPr>
          <w:spacing w:val="-3"/>
          <w:w w:val="105"/>
        </w:rPr>
        <w:t xml:space="preserve">charged </w:t>
      </w:r>
      <w:r w:rsidRPr="00B92EFF">
        <w:rPr>
          <w:w w:val="105"/>
        </w:rPr>
        <w:t xml:space="preserve">with a </w:t>
      </w:r>
      <w:r w:rsidRPr="00B92EFF">
        <w:rPr>
          <w:spacing w:val="-3"/>
          <w:w w:val="105"/>
        </w:rPr>
        <w:t xml:space="preserve">criminal offence </w:t>
      </w:r>
      <w:r w:rsidRPr="00B92EFF">
        <w:rPr>
          <w:w w:val="105"/>
        </w:rPr>
        <w:t xml:space="preserve">in Victoria is entitled </w:t>
      </w:r>
      <w:r w:rsidRPr="00B92EFF">
        <w:rPr>
          <w:spacing w:val="-3"/>
          <w:w w:val="105"/>
        </w:rPr>
        <w:t xml:space="preserve">to </w:t>
      </w:r>
      <w:r w:rsidRPr="00B92EFF">
        <w:rPr>
          <w:w w:val="105"/>
        </w:rPr>
        <w:t xml:space="preserve">be </w:t>
      </w:r>
      <w:r w:rsidRPr="00B92EFF">
        <w:rPr>
          <w:spacing w:val="-3"/>
          <w:w w:val="105"/>
        </w:rPr>
        <w:t xml:space="preserve">‘informed </w:t>
      </w:r>
      <w:r w:rsidRPr="00B92EFF">
        <w:rPr>
          <w:w w:val="105"/>
        </w:rPr>
        <w:t xml:space="preserve">promptly and in detail of the </w:t>
      </w:r>
      <w:r w:rsidRPr="00B92EFF">
        <w:rPr>
          <w:spacing w:val="-3"/>
          <w:w w:val="105"/>
        </w:rPr>
        <w:t xml:space="preserve">nature </w:t>
      </w:r>
      <w:r w:rsidRPr="00B92EFF">
        <w:rPr>
          <w:w w:val="105"/>
        </w:rPr>
        <w:t xml:space="preserve">and reason </w:t>
      </w:r>
      <w:r w:rsidRPr="00B92EFF">
        <w:rPr>
          <w:spacing w:val="-3"/>
          <w:w w:val="105"/>
        </w:rPr>
        <w:t xml:space="preserve">for </w:t>
      </w:r>
      <w:r w:rsidRPr="00B92EFF">
        <w:rPr>
          <w:w w:val="105"/>
        </w:rPr>
        <w:t>the</w:t>
      </w:r>
      <w:r w:rsidRPr="00B92EFF">
        <w:t xml:space="preserve"> </w:t>
      </w:r>
      <w:r w:rsidRPr="00B92EFF">
        <w:rPr>
          <w:spacing w:val="-5"/>
          <w:w w:val="105"/>
        </w:rPr>
        <w:t>charge’</w:t>
      </w:r>
      <w:r w:rsidRPr="00B92EFF">
        <w:t>.</w:t>
      </w:r>
    </w:p>
  </w:footnote>
  <w:footnote w:id="23">
    <w:p w14:paraId="0A49FAAE" w14:textId="53401B8E" w:rsidR="00241E56" w:rsidRPr="00B92EFF" w:rsidRDefault="00241E56" w:rsidP="00E154A6">
      <w:pPr>
        <w:pStyle w:val="FootnoteText"/>
      </w:pPr>
      <w:r w:rsidRPr="00B92EFF">
        <w:rPr>
          <w:rStyle w:val="FootnoteReference"/>
        </w:rPr>
        <w:footnoteRef/>
      </w:r>
      <w:r w:rsidRPr="00B92EFF">
        <w:t xml:space="preserve"> NSW Law Reform Commission, </w:t>
      </w:r>
      <w:r>
        <w:t xml:space="preserve">above </w:t>
      </w:r>
      <w:r w:rsidRPr="7AD22399">
        <w:t xml:space="preserve">n </w:t>
      </w:r>
      <w:r>
        <w:fldChar w:fldCharType="begin"/>
      </w:r>
      <w:r>
        <w:instrText xml:space="preserve"> NOTEREF _Ref17104459 \h </w:instrText>
      </w:r>
      <w:r>
        <w:fldChar w:fldCharType="separate"/>
      </w:r>
      <w:r w:rsidR="00372623">
        <w:t>15</w:t>
      </w:r>
      <w:r>
        <w:fldChar w:fldCharType="end"/>
      </w:r>
      <w:r w:rsidRPr="00B92EFF">
        <w:t>, 128.</w:t>
      </w:r>
    </w:p>
  </w:footnote>
  <w:footnote w:id="24">
    <w:p w14:paraId="4F3C1972" w14:textId="3F397927" w:rsidR="00241E56" w:rsidRPr="003D4AF1" w:rsidRDefault="00241E56">
      <w:pPr>
        <w:pStyle w:val="FootnoteText"/>
        <w:rPr>
          <w:lang w:val="en-US"/>
        </w:rPr>
      </w:pPr>
      <w:r>
        <w:rPr>
          <w:rStyle w:val="FootnoteReference"/>
        </w:rPr>
        <w:footnoteRef/>
      </w:r>
      <w:r>
        <w:t xml:space="preserve"> Magistrates’ Court of Victoria, </w:t>
      </w:r>
      <w:r>
        <w:rPr>
          <w:lang w:val="en-US"/>
        </w:rPr>
        <w:t>Practice Note 3 of 2019.</w:t>
      </w:r>
    </w:p>
  </w:footnote>
  <w:footnote w:id="25">
    <w:p w14:paraId="16AA4D5B" w14:textId="5D70F9FC" w:rsidR="00241E56" w:rsidRPr="00B92EFF" w:rsidRDefault="00241E56">
      <w:pPr>
        <w:pStyle w:val="FootnoteText"/>
      </w:pPr>
      <w:r w:rsidRPr="00B92EFF">
        <w:rPr>
          <w:rStyle w:val="FootnoteReference"/>
        </w:rPr>
        <w:footnoteRef/>
      </w:r>
      <w:r w:rsidRPr="00B92EFF">
        <w:t xml:space="preserve"> See for example, Advisory Committee on Committal Proceedings</w:t>
      </w:r>
      <w:r w:rsidRPr="003B4389">
        <w:rPr>
          <w:i/>
        </w:rPr>
        <w:t>, Report on Committal Proceedings</w:t>
      </w:r>
      <w:r w:rsidRPr="00B92EFF">
        <w:t xml:space="preserve"> (Coldrey Committee Report) 1986; Pegasus Task Force Report, </w:t>
      </w:r>
      <w:r w:rsidRPr="003B4389">
        <w:rPr>
          <w:i/>
        </w:rPr>
        <w:t>Reducing delays in criminal cases,</w:t>
      </w:r>
      <w:r w:rsidRPr="00B92EFF">
        <w:t xml:space="preserve"> 1992; Project Pathfinder: Reengineering the criminal justice system, </w:t>
      </w:r>
      <w:r w:rsidRPr="003B4389">
        <w:rPr>
          <w:i/>
        </w:rPr>
        <w:t>Final Report Stage 1 – Redesign Opportunities</w:t>
      </w:r>
      <w:r w:rsidRPr="00B92EFF">
        <w:t xml:space="preserve">, 1996; NSW Law Reform Commission, above </w:t>
      </w:r>
      <w:r w:rsidRPr="67BE6723">
        <w:t xml:space="preserve">n </w:t>
      </w:r>
      <w:r>
        <w:fldChar w:fldCharType="begin"/>
      </w:r>
      <w:r>
        <w:instrText xml:space="preserve"> NOTEREF _Ref17104459 \h </w:instrText>
      </w:r>
      <w:r>
        <w:fldChar w:fldCharType="separate"/>
      </w:r>
      <w:r w:rsidR="00372623">
        <w:t>15</w:t>
      </w:r>
      <w:r>
        <w:fldChar w:fldCharType="end"/>
      </w:r>
      <w:r w:rsidRPr="67BE6723">
        <w:t>.</w:t>
      </w:r>
    </w:p>
  </w:footnote>
  <w:footnote w:id="26">
    <w:p w14:paraId="19904168" w14:textId="77777777" w:rsidR="00241E56" w:rsidRPr="00B92EFF" w:rsidRDefault="00241E56" w:rsidP="003C5765">
      <w:pPr>
        <w:pStyle w:val="FootnoteText"/>
      </w:pPr>
      <w:r w:rsidRPr="00B92EFF">
        <w:rPr>
          <w:rStyle w:val="FootnoteReference"/>
        </w:rPr>
        <w:footnoteRef/>
      </w:r>
      <w:r w:rsidRPr="00B92EFF">
        <w:t xml:space="preserve"> Magistrates’ Court Practice Note 6 of 2013.</w:t>
      </w:r>
    </w:p>
  </w:footnote>
  <w:footnote w:id="27">
    <w:p w14:paraId="62C2CF13" w14:textId="5F6DEB44" w:rsidR="00241E56" w:rsidRDefault="00241E56">
      <w:pPr>
        <w:pStyle w:val="FootnoteText"/>
      </w:pPr>
      <w:r>
        <w:rPr>
          <w:rStyle w:val="FootnoteReference"/>
        </w:rPr>
        <w:footnoteRef/>
      </w:r>
      <w:r>
        <w:t xml:space="preserve"> </w:t>
      </w:r>
      <w:r w:rsidRPr="00021D0F">
        <w:t xml:space="preserve">Magistrates’ Court Practice </w:t>
      </w:r>
      <w:r>
        <w:t xml:space="preserve">Note </w:t>
      </w:r>
      <w:r w:rsidRPr="00021D0F">
        <w:t>7 of 2013</w:t>
      </w:r>
      <w:r>
        <w:t>.</w:t>
      </w:r>
    </w:p>
  </w:footnote>
  <w:footnote w:id="28">
    <w:p w14:paraId="4169AAF4" w14:textId="3F6618E1" w:rsidR="00241E56" w:rsidRPr="00B92EFF" w:rsidRDefault="00241E56" w:rsidP="007A7C9C">
      <w:pPr>
        <w:pStyle w:val="FootnoteText"/>
        <w:rPr>
          <w:lang w:val="en-US"/>
        </w:rPr>
      </w:pPr>
      <w:r w:rsidRPr="00B92EFF">
        <w:rPr>
          <w:rStyle w:val="FootnoteReference"/>
        </w:rPr>
        <w:footnoteRef/>
      </w:r>
      <w:r w:rsidRPr="00B92EFF">
        <w:t xml:space="preserve"> Magistrates’ Court of Victoria, above n </w:t>
      </w:r>
      <w:r>
        <w:fldChar w:fldCharType="begin"/>
      </w:r>
      <w:r>
        <w:instrText xml:space="preserve"> NOTEREF _Ref17107523 \h </w:instrText>
      </w:r>
      <w:r>
        <w:fldChar w:fldCharType="separate"/>
      </w:r>
      <w:r w:rsidR="00372623">
        <w:t>25</w:t>
      </w:r>
      <w:r>
        <w:fldChar w:fldCharType="end"/>
      </w:r>
      <w:r w:rsidRPr="00B92EFF">
        <w:t xml:space="preserve"> and n</w:t>
      </w:r>
      <w:r>
        <w:fldChar w:fldCharType="begin"/>
      </w:r>
      <w:r>
        <w:instrText xml:space="preserve"> NOTEREF _Ref17107538 \h </w:instrText>
      </w:r>
      <w:r>
        <w:fldChar w:fldCharType="separate"/>
      </w:r>
      <w:r w:rsidR="00372623">
        <w:t>26</w:t>
      </w:r>
      <w:r>
        <w:fldChar w:fldCharType="end"/>
      </w:r>
      <w:r w:rsidRPr="00B92EFF">
        <w:t>.</w:t>
      </w:r>
    </w:p>
  </w:footnote>
  <w:footnote w:id="29">
    <w:p w14:paraId="6511CE4D" w14:textId="26178F3D" w:rsidR="00241E56" w:rsidRDefault="00241E56" w:rsidP="007A7C9C">
      <w:pPr>
        <w:pStyle w:val="FootnoteText"/>
      </w:pPr>
      <w:r w:rsidRPr="007A7C9C">
        <w:rPr>
          <w:rStyle w:val="FootnoteReference"/>
        </w:rPr>
        <w:footnoteRef/>
      </w:r>
      <w:r w:rsidRPr="36A7902B">
        <w:t xml:space="preserve"> Victoria Legal Aid, </w:t>
      </w:r>
      <w:r w:rsidRPr="480CB44D">
        <w:t>&lt;</w:t>
      </w:r>
      <w:r w:rsidRPr="00F667F7">
        <w:rPr>
          <w:rFonts w:eastAsia="Arial"/>
        </w:rPr>
        <w:t>https://www.legalaid.vic.gov.au/about-us/news/evaluating-our-delivering-high-quality-criminal-trials-project&gt;, as at 22 July 2019.</w:t>
      </w:r>
      <w:r>
        <w:rPr>
          <w:rFonts w:eastAsia="Arial"/>
        </w:rPr>
        <w:t xml:space="preserve"> </w:t>
      </w:r>
    </w:p>
  </w:footnote>
  <w:footnote w:id="30">
    <w:p w14:paraId="42201197" w14:textId="5D34DD2A" w:rsidR="00241E56" w:rsidRPr="00B92EFF" w:rsidRDefault="00241E56" w:rsidP="00260BB6">
      <w:pPr>
        <w:pStyle w:val="FootnoteText"/>
        <w:rPr>
          <w:rFonts w:cs="Arial"/>
        </w:rPr>
      </w:pPr>
      <w:r w:rsidRPr="00B92EFF">
        <w:rPr>
          <w:rStyle w:val="FootnoteReference"/>
          <w:rFonts w:cs="Arial"/>
        </w:rPr>
        <w:footnoteRef/>
      </w:r>
      <w:r w:rsidRPr="00B92EFF">
        <w:rPr>
          <w:rStyle w:val="FootnoteReference"/>
          <w:rFonts w:cs="Arial"/>
        </w:rPr>
        <w:t xml:space="preserve"> </w:t>
      </w:r>
      <w:r w:rsidRPr="00B92EFF">
        <w:rPr>
          <w:rFonts w:cs="Arial"/>
        </w:rPr>
        <w:t xml:space="preserve">Office of the Director of Public Prosecutions New South Wales, </w:t>
      </w:r>
      <w:r w:rsidRPr="00B92EFF">
        <w:rPr>
          <w:rFonts w:cs="Arial"/>
          <w:i/>
        </w:rPr>
        <w:t>Annual Report 2017</w:t>
      </w:r>
      <w:r w:rsidRPr="00CB75C5">
        <w:rPr>
          <w:rFonts w:cs="Arial"/>
          <w:i/>
          <w:iCs/>
        </w:rPr>
        <w:t>-</w:t>
      </w:r>
      <w:r w:rsidRPr="00B92EFF">
        <w:rPr>
          <w:rFonts w:cs="Arial"/>
          <w:i/>
        </w:rPr>
        <w:t>2018</w:t>
      </w:r>
      <w:r w:rsidRPr="00B92EFF">
        <w:rPr>
          <w:rFonts w:cs="Arial"/>
        </w:rPr>
        <w:t xml:space="preserve">, 14. </w:t>
      </w:r>
    </w:p>
  </w:footnote>
  <w:footnote w:id="31">
    <w:p w14:paraId="41DAFD53" w14:textId="745D59F6" w:rsidR="00241E56" w:rsidRDefault="00241E56">
      <w:pPr>
        <w:pStyle w:val="FootnoteText"/>
      </w:pPr>
      <w:r>
        <w:rPr>
          <w:rStyle w:val="FootnoteReference"/>
        </w:rPr>
        <w:footnoteRef/>
      </w:r>
      <w:r>
        <w:t xml:space="preserve"> B</w:t>
      </w:r>
      <w:r w:rsidRPr="00551C28">
        <w:t>ased on the NSW Law Reform Commission Report, above n</w:t>
      </w:r>
      <w:r>
        <w:t xml:space="preserve"> </w:t>
      </w:r>
      <w:r>
        <w:fldChar w:fldCharType="begin"/>
      </w:r>
      <w:r>
        <w:instrText xml:space="preserve"> NOTEREF _Ref17104459 \h </w:instrText>
      </w:r>
      <w:r>
        <w:fldChar w:fldCharType="separate"/>
      </w:r>
      <w:r w:rsidR="00372623">
        <w:t>15</w:t>
      </w:r>
      <w:r>
        <w:fldChar w:fldCharType="end"/>
      </w:r>
      <w:r>
        <w:t>, 2016.</w:t>
      </w:r>
    </w:p>
  </w:footnote>
  <w:footnote w:id="32">
    <w:p w14:paraId="634F9BA1" w14:textId="77777777" w:rsidR="00241E56" w:rsidRPr="00B92EFF" w:rsidRDefault="00241E56" w:rsidP="00260BB6">
      <w:pPr>
        <w:pStyle w:val="FootnoteText"/>
      </w:pPr>
      <w:r w:rsidRPr="00B92EFF">
        <w:rPr>
          <w:rStyle w:val="FootnoteReference"/>
        </w:rPr>
        <w:footnoteRef/>
      </w:r>
      <w:r w:rsidRPr="00B92EFF">
        <w:t xml:space="preserve"> NSW Government Media Release, </w:t>
      </w:r>
      <w:r w:rsidRPr="00B92EFF">
        <w:rPr>
          <w:i/>
        </w:rPr>
        <w:t>Funding Support for Courts and Legal Centres,</w:t>
      </w:r>
      <w:r w:rsidRPr="00B92EFF">
        <w:t xml:space="preserve"> June 2018.</w:t>
      </w:r>
    </w:p>
  </w:footnote>
  <w:footnote w:id="33">
    <w:p w14:paraId="52F727F6" w14:textId="0DF4AC11" w:rsidR="00241E56" w:rsidRDefault="00241E56">
      <w:pPr>
        <w:pStyle w:val="FootnoteText"/>
      </w:pPr>
      <w:r>
        <w:rPr>
          <w:rStyle w:val="FootnoteReference"/>
        </w:rPr>
        <w:footnoteRef/>
      </w:r>
      <w:r>
        <w:t xml:space="preserve"> See for example: </w:t>
      </w:r>
      <w:r w:rsidRPr="00B92EFF">
        <w:t>Advisory Committee on Committal Proceedings</w:t>
      </w:r>
      <w:r w:rsidRPr="003B4389">
        <w:rPr>
          <w:i/>
        </w:rPr>
        <w:t>, Report on Committal Proceedings</w:t>
      </w:r>
      <w:r w:rsidRPr="00B92EFF">
        <w:t xml:space="preserve"> (Coldrey Committee Report) 1986; Pegasus Task Force Report, </w:t>
      </w:r>
      <w:r w:rsidRPr="003B4389">
        <w:rPr>
          <w:i/>
        </w:rPr>
        <w:t>Reducing delays in criminal cases,</w:t>
      </w:r>
      <w:r w:rsidRPr="00B92EFF">
        <w:t xml:space="preserve"> 1992; Project Pathfinder: Reengineering the criminal justice system, </w:t>
      </w:r>
      <w:r w:rsidRPr="003B4389">
        <w:rPr>
          <w:i/>
        </w:rPr>
        <w:t>Final Report Stage 1 – Redesign Opportunities</w:t>
      </w:r>
      <w:r w:rsidRPr="00B92EFF">
        <w:t xml:space="preserve">, 1996; NSW Law Reform Commission, above </w:t>
      </w:r>
      <w:r w:rsidRPr="67BE6723">
        <w:t xml:space="preserve">n </w:t>
      </w:r>
      <w:r>
        <w:fldChar w:fldCharType="begin"/>
      </w:r>
      <w:r>
        <w:instrText xml:space="preserve"> NOTEREF _Ref17104459 \h </w:instrText>
      </w:r>
      <w:r>
        <w:fldChar w:fldCharType="separate"/>
      </w:r>
      <w:r w:rsidR="00372623">
        <w:t>15</w:t>
      </w:r>
      <w:r>
        <w:fldChar w:fldCharType="end"/>
      </w:r>
      <w:r>
        <w:t>.</w:t>
      </w:r>
    </w:p>
  </w:footnote>
  <w:footnote w:id="34">
    <w:p w14:paraId="40913991" w14:textId="6141A5D9" w:rsidR="00241E56" w:rsidRPr="00D6109D" w:rsidRDefault="00241E56">
      <w:pPr>
        <w:pStyle w:val="FootnoteText"/>
        <w:rPr>
          <w:lang w:val="en-US"/>
        </w:rPr>
      </w:pPr>
      <w:r>
        <w:rPr>
          <w:rStyle w:val="FootnoteReference"/>
        </w:rPr>
        <w:footnoteRef/>
      </w:r>
      <w:r>
        <w:t xml:space="preserve"> </w:t>
      </w:r>
      <w:r>
        <w:rPr>
          <w:lang w:val="en-US"/>
        </w:rPr>
        <w:t xml:space="preserve">Interview with the </w:t>
      </w:r>
      <w:r>
        <w:t xml:space="preserve">former managing lawyer of an office of NT Legal Aid Commission, for </w:t>
      </w:r>
      <w:r>
        <w:rPr>
          <w:lang w:val="en-US"/>
        </w:rPr>
        <w:t>the purpose of preparing this submission, 1 August 2019.</w:t>
      </w:r>
    </w:p>
  </w:footnote>
  <w:footnote w:id="35">
    <w:p w14:paraId="76733600" w14:textId="77777777" w:rsidR="00241E56" w:rsidRPr="00B92EFF" w:rsidRDefault="00241E56" w:rsidP="008D1B06">
      <w:pPr>
        <w:pStyle w:val="FootnoteText"/>
      </w:pPr>
      <w:r w:rsidRPr="00B92EFF">
        <w:rPr>
          <w:rStyle w:val="FootnoteReference"/>
        </w:rPr>
        <w:footnoteRef/>
      </w:r>
      <w:r w:rsidRPr="00B92EFF">
        <w:t xml:space="preserve"> </w:t>
      </w:r>
      <w:r w:rsidRPr="00B92EFF">
        <w:rPr>
          <w:lang w:eastAsia="en-AU"/>
        </w:rPr>
        <w:t xml:space="preserve">which replaced </w:t>
      </w:r>
      <w:r w:rsidRPr="00B92EFF">
        <w:rPr>
          <w:i/>
          <w:iCs/>
          <w:lang w:eastAsia="en-AU"/>
        </w:rPr>
        <w:t xml:space="preserve">Basha </w:t>
      </w:r>
      <w:r w:rsidRPr="00B92EFF">
        <w:rPr>
          <w:lang w:eastAsia="en-AU"/>
        </w:rPr>
        <w:t xml:space="preserve">proceedings </w:t>
      </w:r>
      <w:r w:rsidRPr="003D4AF1">
        <w:rPr>
          <w:rFonts w:eastAsia="Arial"/>
          <w:i/>
        </w:rPr>
        <w:t>R v</w:t>
      </w:r>
      <w:r w:rsidRPr="00B92EFF">
        <w:rPr>
          <w:rFonts w:eastAsia="Arial" w:cs="Arial"/>
        </w:rPr>
        <w:t xml:space="preserve"> </w:t>
      </w:r>
      <w:r w:rsidRPr="00B92EFF">
        <w:rPr>
          <w:rFonts w:eastAsia="Arial" w:cs="Arial"/>
          <w:i/>
          <w:iCs/>
        </w:rPr>
        <w:t xml:space="preserve">Basha </w:t>
      </w:r>
      <w:r w:rsidRPr="00B92EFF">
        <w:rPr>
          <w:rFonts w:eastAsia="Arial" w:cs="Arial"/>
        </w:rPr>
        <w:t>(1989) 39 A Crim R 337.</w:t>
      </w:r>
    </w:p>
  </w:footnote>
  <w:footnote w:id="36">
    <w:p w14:paraId="17E23E79" w14:textId="481792E8" w:rsidR="00241E56" w:rsidRPr="00B92EFF" w:rsidRDefault="00241E56" w:rsidP="00633B81">
      <w:pPr>
        <w:pStyle w:val="FootnoteText"/>
        <w:rPr>
          <w:rFonts w:cs="Arial"/>
        </w:rPr>
      </w:pPr>
      <w:r w:rsidRPr="00B92EFF">
        <w:rPr>
          <w:rStyle w:val="FootnoteReference"/>
          <w:rFonts w:cs="Arial"/>
        </w:rPr>
        <w:footnoteRef/>
      </w:r>
      <w:r w:rsidRPr="00B92EFF">
        <w:rPr>
          <w:rStyle w:val="FootnoteReference"/>
          <w:rFonts w:cs="Arial"/>
        </w:rPr>
        <w:t xml:space="preserve"> </w:t>
      </w:r>
      <w:r w:rsidRPr="001C5F19">
        <w:rPr>
          <w:rFonts w:cs="Arial"/>
        </w:rPr>
        <w:t>Director of Criminal Law Services in Legal Aid Queensland</w:t>
      </w:r>
      <w:r>
        <w:rPr>
          <w:rFonts w:cs="Arial"/>
        </w:rPr>
        <w:t>, via e-mail 22</w:t>
      </w:r>
      <w:r w:rsidRPr="001C5F19">
        <w:rPr>
          <w:rFonts w:cs="Arial"/>
          <w:vertAlign w:val="superscript"/>
        </w:rPr>
        <w:t>nd</w:t>
      </w:r>
      <w:r>
        <w:rPr>
          <w:rFonts w:cs="Arial"/>
        </w:rPr>
        <w:t xml:space="preserve"> July 2019</w:t>
      </w:r>
      <w:r w:rsidRPr="00B92EFF">
        <w:rPr>
          <w:rFonts w:cs="Arial"/>
        </w:rPr>
        <w:t xml:space="preserve">. </w:t>
      </w:r>
    </w:p>
  </w:footnote>
  <w:footnote w:id="37">
    <w:p w14:paraId="5D836D90" w14:textId="07C93157" w:rsidR="00241E56" w:rsidRPr="00A73E8C" w:rsidRDefault="00241E56" w:rsidP="00633B81">
      <w:pPr>
        <w:pStyle w:val="FootnoteText"/>
        <w:rPr>
          <w:rFonts w:cs="Arial"/>
        </w:rPr>
      </w:pPr>
      <w:r w:rsidRPr="00CB75C5">
        <w:rPr>
          <w:rStyle w:val="FootnoteReference"/>
          <w:rFonts w:cs="Arial"/>
        </w:rPr>
        <w:footnoteRef/>
      </w:r>
      <w:r w:rsidRPr="00CB75C5">
        <w:rPr>
          <w:rStyle w:val="FootnoteReference"/>
          <w:rFonts w:cs="Arial"/>
        </w:rPr>
        <w:t xml:space="preserve"> </w:t>
      </w:r>
      <w:r w:rsidRPr="00A73E8C">
        <w:rPr>
          <w:rFonts w:cs="Arial"/>
        </w:rPr>
        <w:t xml:space="preserve">Report by the Hon Martin Moynihan AO, </w:t>
      </w:r>
      <w:r w:rsidRPr="00A73E8C">
        <w:rPr>
          <w:rFonts w:cs="Arial"/>
          <w:i/>
        </w:rPr>
        <w:t>Review of the civil and criminal justice system in Queensland</w:t>
      </w:r>
      <w:r w:rsidRPr="00A73E8C">
        <w:rPr>
          <w:rFonts w:cs="Arial"/>
        </w:rPr>
        <w:t>, December 2008</w:t>
      </w:r>
      <w:r w:rsidRPr="00CB75C5">
        <w:rPr>
          <w:rFonts w:cs="Arial"/>
        </w:rPr>
        <w:t>.</w:t>
      </w:r>
    </w:p>
  </w:footnote>
  <w:footnote w:id="38">
    <w:p w14:paraId="160F23B4" w14:textId="77777777" w:rsidR="00241E56" w:rsidRPr="00B92EFF" w:rsidRDefault="00241E56" w:rsidP="00633B81">
      <w:pPr>
        <w:pStyle w:val="FootnoteText"/>
        <w:rPr>
          <w:rFonts w:cs="Arial"/>
        </w:rPr>
      </w:pPr>
      <w:r w:rsidRPr="00B40571">
        <w:rPr>
          <w:rStyle w:val="FootnoteReference"/>
        </w:rPr>
        <w:footnoteRef/>
      </w:r>
      <w:r w:rsidRPr="00B40571">
        <w:rPr>
          <w:rStyle w:val="FootnoteReference"/>
        </w:rPr>
        <w:t xml:space="preserve"> </w:t>
      </w:r>
      <w:r w:rsidRPr="00B92EFF">
        <w:rPr>
          <w:rFonts w:cs="Arial"/>
        </w:rPr>
        <w:t xml:space="preserve">Moynihan Report, </w:t>
      </w:r>
      <w:r w:rsidRPr="003D4AF1">
        <w:rPr>
          <w:i/>
        </w:rPr>
        <w:t>ibid</w:t>
      </w:r>
      <w:r w:rsidRPr="00B92EFF">
        <w:rPr>
          <w:rFonts w:cs="Arial"/>
        </w:rPr>
        <w:t xml:space="preserve">, 191. </w:t>
      </w:r>
    </w:p>
  </w:footnote>
  <w:footnote w:id="39">
    <w:p w14:paraId="5DD96391" w14:textId="77777777" w:rsidR="00241E56" w:rsidRPr="00B92EFF" w:rsidRDefault="00241E56" w:rsidP="00633B81">
      <w:pPr>
        <w:pStyle w:val="FootnoteText"/>
        <w:rPr>
          <w:rFonts w:cs="Arial"/>
          <w:szCs w:val="18"/>
        </w:rPr>
      </w:pPr>
      <w:r w:rsidRPr="0042106D">
        <w:rPr>
          <w:rStyle w:val="FootnoteReference"/>
        </w:rPr>
        <w:footnoteRef/>
      </w:r>
      <w:r w:rsidRPr="00B92EFF">
        <w:rPr>
          <w:rFonts w:cs="Arial"/>
          <w:szCs w:val="18"/>
        </w:rPr>
        <w:t xml:space="preserve"> </w:t>
      </w:r>
      <w:r w:rsidRPr="00B92EFF">
        <w:rPr>
          <w:rFonts w:cs="Arial"/>
          <w:i/>
          <w:szCs w:val="18"/>
        </w:rPr>
        <w:t>BJC v Police</w:t>
      </w:r>
      <w:r w:rsidRPr="00B92EFF">
        <w:rPr>
          <w:rFonts w:cs="Arial"/>
          <w:szCs w:val="18"/>
        </w:rPr>
        <w:t xml:space="preserve"> [2011] QMC 01, commencing at para 15 is a helpful summary of the history of the legislative changes introduced by the Moynihan Report and the case law from NSW which is relied upon to interpret the QLD provisions. </w:t>
      </w:r>
    </w:p>
  </w:footnote>
  <w:footnote w:id="40">
    <w:p w14:paraId="1E5A3F54" w14:textId="2259C23A" w:rsidR="00241E56" w:rsidRPr="003D4AF1" w:rsidRDefault="00241E56" w:rsidP="003D4AF1">
      <w:pPr>
        <w:pStyle w:val="FootnoteText"/>
        <w:rPr>
          <w:highlight w:val="yellow"/>
        </w:rPr>
      </w:pPr>
      <w:r w:rsidRPr="003D4AF1">
        <w:rPr>
          <w:rStyle w:val="FootnoteReference"/>
        </w:rPr>
        <w:footnoteRef/>
      </w:r>
      <w:r>
        <w:t xml:space="preserve"> </w:t>
      </w:r>
      <w:r w:rsidRPr="0A38FE30">
        <w:t xml:space="preserve">Office of Public Prosecutions, above n </w:t>
      </w:r>
      <w:r>
        <w:fldChar w:fldCharType="begin"/>
      </w:r>
      <w:r>
        <w:instrText xml:space="preserve"> NOTEREF _Ref17119334 \h </w:instrText>
      </w:r>
      <w:r>
        <w:fldChar w:fldCharType="separate"/>
      </w:r>
      <w:r w:rsidR="00372623">
        <w:t>2</w:t>
      </w:r>
      <w:r>
        <w:fldChar w:fldCharType="end"/>
      </w:r>
      <w:r w:rsidRPr="0A38FE30">
        <w:t xml:space="preserve">, 75. </w:t>
      </w:r>
    </w:p>
  </w:footnote>
  <w:footnote w:id="41">
    <w:p w14:paraId="015A6264" w14:textId="1A5E27EE" w:rsidR="00241E56" w:rsidRPr="00B92EFF" w:rsidRDefault="00241E56" w:rsidP="002D0923">
      <w:pPr>
        <w:pStyle w:val="FootnoteText"/>
        <w:rPr>
          <w:lang w:val="en-US"/>
        </w:rPr>
      </w:pPr>
      <w:r w:rsidRPr="00B92EFF">
        <w:rPr>
          <w:rStyle w:val="FootnoteReference"/>
        </w:rPr>
        <w:footnoteRef/>
      </w:r>
      <w:r w:rsidRPr="00B92EFF">
        <w:t xml:space="preserve"> </w:t>
      </w:r>
      <w:r w:rsidRPr="00B92EFF">
        <w:rPr>
          <w:lang w:val="en-US"/>
        </w:rPr>
        <w:t xml:space="preserve">Office of Public Prosecutions, above n </w:t>
      </w:r>
      <w:r>
        <w:rPr>
          <w:lang w:val="en-US"/>
        </w:rPr>
        <w:fldChar w:fldCharType="begin"/>
      </w:r>
      <w:r>
        <w:rPr>
          <w:lang w:val="en-US"/>
        </w:rPr>
        <w:instrText xml:space="preserve"> NOTEREF _Ref17119334 \h </w:instrText>
      </w:r>
      <w:r>
        <w:rPr>
          <w:lang w:val="en-US"/>
        </w:rPr>
      </w:r>
      <w:r>
        <w:rPr>
          <w:lang w:val="en-US"/>
        </w:rPr>
        <w:fldChar w:fldCharType="separate"/>
      </w:r>
      <w:r w:rsidR="00372623">
        <w:rPr>
          <w:lang w:val="en-US"/>
        </w:rPr>
        <w:t>2</w:t>
      </w:r>
      <w:r>
        <w:rPr>
          <w:lang w:val="en-US"/>
        </w:rPr>
        <w:fldChar w:fldCharType="end"/>
      </w:r>
      <w:r w:rsidRPr="00B92EFF">
        <w:rPr>
          <w:lang w:val="en-US"/>
        </w:rPr>
        <w:t>, 75.</w:t>
      </w:r>
    </w:p>
  </w:footnote>
  <w:footnote w:id="42">
    <w:p w14:paraId="3CCD5D80" w14:textId="7A50A4F5" w:rsidR="00241E56" w:rsidRPr="00B92EFF" w:rsidRDefault="00241E56" w:rsidP="002612F9">
      <w:pPr>
        <w:pStyle w:val="FootnoteText"/>
        <w:rPr>
          <w:lang w:val="en-US"/>
        </w:rPr>
      </w:pPr>
      <w:r w:rsidRPr="00B92EFF">
        <w:rPr>
          <w:rStyle w:val="FootnoteReference"/>
        </w:rPr>
        <w:footnoteRef/>
      </w:r>
      <w:r w:rsidRPr="00B92EFF">
        <w:t xml:space="preserve"> Victorian Law Reform Commission, </w:t>
      </w:r>
      <w:r w:rsidRPr="003D4AF1">
        <w:rPr>
          <w:lang w:val="en-US"/>
        </w:rPr>
        <w:t>above n</w:t>
      </w:r>
      <w:r w:rsidRPr="5F90D3FD">
        <w:rPr>
          <w:lang w:val="en-US"/>
        </w:rPr>
        <w:t xml:space="preserve"> </w:t>
      </w:r>
      <w:r>
        <w:rPr>
          <w:lang w:val="en-US"/>
        </w:rPr>
        <w:fldChar w:fldCharType="begin"/>
      </w:r>
      <w:r>
        <w:rPr>
          <w:lang w:val="en-US"/>
        </w:rPr>
        <w:instrText xml:space="preserve"> NOTEREF _Ref17119447 \h </w:instrText>
      </w:r>
      <w:r>
        <w:rPr>
          <w:lang w:val="en-US"/>
        </w:rPr>
      </w:r>
      <w:r>
        <w:rPr>
          <w:lang w:val="en-US"/>
        </w:rPr>
        <w:fldChar w:fldCharType="separate"/>
      </w:r>
      <w:r w:rsidR="00372623">
        <w:rPr>
          <w:lang w:val="en-US"/>
        </w:rPr>
        <w:t>1</w:t>
      </w:r>
      <w:r>
        <w:rPr>
          <w:lang w:val="en-US"/>
        </w:rPr>
        <w:fldChar w:fldCharType="end"/>
      </w:r>
      <w:r w:rsidRPr="00B92EFF">
        <w:rPr>
          <w:lang w:val="en-US"/>
        </w:rPr>
        <w:t xml:space="preserve">, 48. </w:t>
      </w:r>
    </w:p>
  </w:footnote>
  <w:footnote w:id="43">
    <w:p w14:paraId="28A1DD70" w14:textId="644C0F5B" w:rsidR="00241E56" w:rsidRPr="001A0562" w:rsidRDefault="00241E56">
      <w:pPr>
        <w:pStyle w:val="FootnoteText"/>
        <w:rPr>
          <w:lang w:val="en-US"/>
        </w:rPr>
      </w:pPr>
      <w:r>
        <w:rPr>
          <w:rStyle w:val="FootnoteReference"/>
        </w:rPr>
        <w:footnoteRef/>
      </w:r>
      <w:r>
        <w:t xml:space="preserve"> </w:t>
      </w:r>
      <w:r w:rsidRPr="00B92EFF">
        <w:t>V</w:t>
      </w:r>
      <w:r>
        <w:t xml:space="preserve">ictorian Law Reform Commission, </w:t>
      </w:r>
      <w:r w:rsidRPr="00F667F7">
        <w:rPr>
          <w:i/>
          <w:iCs/>
        </w:rPr>
        <w:t>Final Report:</w:t>
      </w:r>
      <w:r w:rsidRPr="2130D360">
        <w:t xml:space="preserve"> </w:t>
      </w:r>
      <w:r w:rsidRPr="00F667F7">
        <w:rPr>
          <w:i/>
          <w:iCs/>
        </w:rPr>
        <w:t>Review into the Role of Victims in the Criminal Trial Process,</w:t>
      </w:r>
      <w:r>
        <w:t xml:space="preserve"> 2016, 138</w:t>
      </w:r>
      <w:r w:rsidRPr="00B92EFF">
        <w:rPr>
          <w:lang w:eastAsia="en-AU"/>
        </w:rPr>
        <w:t>.</w:t>
      </w:r>
    </w:p>
  </w:footnote>
  <w:footnote w:id="44">
    <w:p w14:paraId="089122DD" w14:textId="77777777" w:rsidR="00241E56" w:rsidRPr="00B92EFF" w:rsidRDefault="00241E56" w:rsidP="002612F9">
      <w:pPr>
        <w:pStyle w:val="FootnoteText"/>
      </w:pPr>
      <w:r w:rsidRPr="00B92EFF">
        <w:rPr>
          <w:rStyle w:val="FootnoteReference"/>
        </w:rPr>
        <w:footnoteRef/>
      </w:r>
      <w:r w:rsidRPr="00B92EFF">
        <w:t xml:space="preserve"> </w:t>
      </w:r>
      <w:r w:rsidRPr="00B92EFF">
        <w:rPr>
          <w:i/>
        </w:rPr>
        <w:t>Evidence Act 2008</w:t>
      </w:r>
      <w:r w:rsidRPr="00B92EFF">
        <w:rPr>
          <w:i/>
          <w:iCs/>
        </w:rPr>
        <w:t xml:space="preserve"> </w:t>
      </w:r>
      <w:r w:rsidRPr="00B92EFF">
        <w:t>(Vic)</w:t>
      </w:r>
      <w:r w:rsidRPr="00B92EFF">
        <w:rPr>
          <w:i/>
          <w:iCs/>
        </w:rPr>
        <w:t xml:space="preserve">, </w:t>
      </w:r>
      <w:r w:rsidRPr="00B92EFF">
        <w:t>s 41.</w:t>
      </w:r>
    </w:p>
  </w:footnote>
  <w:footnote w:id="45">
    <w:p w14:paraId="08B1492F" w14:textId="77777777" w:rsidR="00241E56" w:rsidRPr="00B92EFF" w:rsidRDefault="00241E56" w:rsidP="002612F9">
      <w:pPr>
        <w:pStyle w:val="FootnoteText"/>
        <w:rPr>
          <w:lang w:val="en-US"/>
        </w:rPr>
      </w:pPr>
      <w:r w:rsidRPr="00B92EFF">
        <w:rPr>
          <w:rStyle w:val="FootnoteReference"/>
        </w:rPr>
        <w:footnoteRef/>
      </w:r>
      <w:r w:rsidRPr="00B92EFF">
        <w:t xml:space="preserve"> </w:t>
      </w:r>
      <w:r w:rsidRPr="00B92EFF">
        <w:rPr>
          <w:lang w:val="en-US"/>
        </w:rPr>
        <w:t xml:space="preserve">Judicial College, </w:t>
      </w:r>
      <w:r w:rsidRPr="00B92EFF">
        <w:rPr>
          <w:i/>
          <w:lang w:val="en-US"/>
        </w:rPr>
        <w:t>Victims of Crime in the Courtroom: A Guide for Judicial Officers</w:t>
      </w:r>
      <w:r w:rsidRPr="00B92EFF">
        <w:rPr>
          <w:lang w:val="en-US"/>
        </w:rPr>
        <w:t>, 1 August 2019.</w:t>
      </w:r>
    </w:p>
  </w:footnote>
  <w:footnote w:id="46">
    <w:p w14:paraId="3171000E" w14:textId="4C4E3B04" w:rsidR="00241E56" w:rsidRPr="00B92EFF" w:rsidRDefault="00241E56" w:rsidP="00693ED3">
      <w:pPr>
        <w:pStyle w:val="FootnoteText"/>
        <w:rPr>
          <w:lang w:val="en-US"/>
        </w:rPr>
      </w:pPr>
      <w:r w:rsidRPr="00B92EFF">
        <w:rPr>
          <w:rStyle w:val="FootnoteReference"/>
        </w:rPr>
        <w:footnoteRef/>
      </w:r>
      <w:r w:rsidRPr="00B92EFF">
        <w:t xml:space="preserve"> Victorian Law Reform Commission, </w:t>
      </w:r>
      <w:r w:rsidRPr="34F5454D">
        <w:t xml:space="preserve">above n </w:t>
      </w:r>
      <w:r>
        <w:fldChar w:fldCharType="begin"/>
      </w:r>
      <w:r>
        <w:instrText xml:space="preserve"> NOTEREF _Ref17104629 \h </w:instrText>
      </w:r>
      <w:r>
        <w:fldChar w:fldCharType="separate"/>
      </w:r>
      <w:r w:rsidR="00372623">
        <w:t>42</w:t>
      </w:r>
      <w:r>
        <w:fldChar w:fldCharType="end"/>
      </w:r>
    </w:p>
  </w:footnote>
  <w:footnote w:id="47">
    <w:p w14:paraId="24BBFE6D" w14:textId="2027877B" w:rsidR="00241E56" w:rsidRPr="00B92EFF" w:rsidRDefault="00241E56" w:rsidP="00587BB2">
      <w:pPr>
        <w:pStyle w:val="FootnoteText"/>
        <w:rPr>
          <w:lang w:val="en-US"/>
        </w:rPr>
      </w:pPr>
      <w:r w:rsidRPr="00B92EFF">
        <w:rPr>
          <w:rStyle w:val="FootnoteReference"/>
        </w:rPr>
        <w:footnoteRef/>
      </w:r>
      <w:r w:rsidRPr="00B92EFF">
        <w:t xml:space="preserve"> </w:t>
      </w:r>
      <w:r w:rsidRPr="00B92EFF">
        <w:rPr>
          <w:lang w:val="en-US"/>
        </w:rPr>
        <w:t xml:space="preserve">Centre for Innovative Justice, </w:t>
      </w:r>
      <w:r w:rsidRPr="003D4AF1">
        <w:rPr>
          <w:lang w:val="en-US"/>
        </w:rPr>
        <w:t xml:space="preserve">above n </w:t>
      </w:r>
      <w:r>
        <w:rPr>
          <w:lang w:val="en-US"/>
        </w:rPr>
        <w:fldChar w:fldCharType="begin"/>
      </w:r>
      <w:r>
        <w:rPr>
          <w:lang w:val="en-US"/>
        </w:rPr>
        <w:instrText xml:space="preserve"> NOTEREF _Ref17107186 \h </w:instrText>
      </w:r>
      <w:r>
        <w:rPr>
          <w:lang w:val="en-US"/>
        </w:rPr>
      </w:r>
      <w:r>
        <w:rPr>
          <w:lang w:val="en-US"/>
        </w:rPr>
        <w:fldChar w:fldCharType="separate"/>
      </w:r>
      <w:r w:rsidR="00372623">
        <w:rPr>
          <w:lang w:val="en-US"/>
        </w:rPr>
        <w:t>19</w:t>
      </w:r>
      <w:r>
        <w:rPr>
          <w:lang w:val="en-US"/>
        </w:rPr>
        <w:fldChar w:fldCharType="end"/>
      </w:r>
      <w:r w:rsidRPr="00B92EFF">
        <w:rPr>
          <w:lang w:val="en-US"/>
        </w:rPr>
        <w:t>.</w:t>
      </w:r>
    </w:p>
  </w:footnote>
  <w:footnote w:id="48">
    <w:p w14:paraId="1BB364E8" w14:textId="3DBD3190" w:rsidR="00241E56" w:rsidRPr="00B92EFF" w:rsidRDefault="00241E56" w:rsidP="002612F9">
      <w:pPr>
        <w:pStyle w:val="FootnoteText"/>
        <w:rPr>
          <w:lang w:val="en-US"/>
        </w:rPr>
      </w:pPr>
      <w:r w:rsidRPr="00B92EFF">
        <w:rPr>
          <w:rStyle w:val="FootnoteReference"/>
        </w:rPr>
        <w:footnoteRef/>
      </w:r>
      <w:r w:rsidRPr="00B92EFF">
        <w:t xml:space="preserve"> </w:t>
      </w:r>
      <w:r w:rsidRPr="00B92EFF">
        <w:rPr>
          <w:lang w:eastAsia="en-AU"/>
        </w:rPr>
        <w:t xml:space="preserve">On the </w:t>
      </w:r>
      <w:r w:rsidRPr="00B92EFF">
        <w:t>recommendation of the Advisory Committee on Committal Proceedings, Coldrey Committee Report</w:t>
      </w:r>
      <w:r w:rsidRPr="00AC3F0F">
        <w:t xml:space="preserve">, above n </w:t>
      </w:r>
      <w:r>
        <w:fldChar w:fldCharType="begin"/>
      </w:r>
      <w:r>
        <w:instrText xml:space="preserve"> NOTEREF _Ref17119758 \h </w:instrText>
      </w:r>
      <w:r>
        <w:fldChar w:fldCharType="separate"/>
      </w:r>
      <w:r w:rsidR="00372623">
        <w:t>24</w:t>
      </w:r>
      <w:r>
        <w:fldChar w:fldCharType="end"/>
      </w:r>
      <w:r w:rsidRPr="00B92EFF">
        <w:t>.</w:t>
      </w:r>
    </w:p>
  </w:footnote>
  <w:footnote w:id="49">
    <w:p w14:paraId="2D88BD09" w14:textId="4902D471" w:rsidR="00241E56" w:rsidRPr="005B662A" w:rsidRDefault="00241E56" w:rsidP="002612F9">
      <w:pPr>
        <w:pStyle w:val="FootnoteText"/>
        <w:rPr>
          <w:lang w:val="en-US"/>
        </w:rPr>
      </w:pPr>
      <w:r w:rsidRPr="005B662A">
        <w:rPr>
          <w:rStyle w:val="FootnoteReference"/>
        </w:rPr>
        <w:footnoteRef/>
      </w:r>
      <w:r w:rsidRPr="005B662A">
        <w:t xml:space="preserve"> Victorian Law Reform Commission, </w:t>
      </w:r>
      <w:r w:rsidRPr="003D4AF1">
        <w:rPr>
          <w:lang w:val="en-US"/>
        </w:rPr>
        <w:t xml:space="preserve">above n </w:t>
      </w:r>
      <w:r>
        <w:rPr>
          <w:lang w:val="en-US"/>
        </w:rPr>
        <w:fldChar w:fldCharType="begin"/>
      </w:r>
      <w:r>
        <w:rPr>
          <w:lang w:val="en-US"/>
        </w:rPr>
        <w:instrText xml:space="preserve"> NOTEREF _Ref17119447 \h </w:instrText>
      </w:r>
      <w:r>
        <w:rPr>
          <w:lang w:val="en-US"/>
        </w:rPr>
      </w:r>
      <w:r>
        <w:rPr>
          <w:lang w:val="en-US"/>
        </w:rPr>
        <w:fldChar w:fldCharType="separate"/>
      </w:r>
      <w:r w:rsidR="00372623">
        <w:rPr>
          <w:lang w:val="en-US"/>
        </w:rPr>
        <w:t>1</w:t>
      </w:r>
      <w:r>
        <w:rPr>
          <w:lang w:val="en-US"/>
        </w:rPr>
        <w:fldChar w:fldCharType="end"/>
      </w:r>
      <w:r w:rsidRPr="005B662A">
        <w:rPr>
          <w:lang w:val="en-US"/>
        </w:rPr>
        <w:t xml:space="preserve">, 48. </w:t>
      </w:r>
    </w:p>
  </w:footnote>
  <w:footnote w:id="50">
    <w:p w14:paraId="0340FB63" w14:textId="785B8241" w:rsidR="00241E56" w:rsidRPr="005B662A" w:rsidRDefault="00241E56" w:rsidP="005B662A">
      <w:pPr>
        <w:pStyle w:val="FootnoteText"/>
        <w:rPr>
          <w:lang w:val="en-US"/>
        </w:rPr>
      </w:pPr>
      <w:r w:rsidRPr="005B662A">
        <w:rPr>
          <w:rStyle w:val="FootnoteReference"/>
        </w:rPr>
        <w:footnoteRef/>
      </w:r>
      <w:r w:rsidRPr="005B662A">
        <w:t xml:space="preserve"> </w:t>
      </w:r>
      <w:r w:rsidRPr="005B662A">
        <w:rPr>
          <w:lang w:val="en-US"/>
        </w:rPr>
        <w:t xml:space="preserve">Centre for Innovative Justice, </w:t>
      </w:r>
      <w:r w:rsidRPr="003D4AF1">
        <w:rPr>
          <w:lang w:val="en-US"/>
        </w:rPr>
        <w:t>above</w:t>
      </w:r>
      <w:r w:rsidRPr="7C335FA3">
        <w:rPr>
          <w:i/>
          <w:iCs/>
          <w:lang w:val="en-US"/>
        </w:rPr>
        <w:t xml:space="preserve"> </w:t>
      </w:r>
      <w:r w:rsidRPr="7A4931DA">
        <w:rPr>
          <w:lang w:val="en-US"/>
        </w:rPr>
        <w:t xml:space="preserve">n </w:t>
      </w:r>
      <w:r>
        <w:rPr>
          <w:lang w:val="en-US"/>
        </w:rPr>
        <w:fldChar w:fldCharType="begin"/>
      </w:r>
      <w:r>
        <w:rPr>
          <w:lang w:val="en-US"/>
        </w:rPr>
        <w:instrText xml:space="preserve"> NOTEREF _Ref17107186 \h </w:instrText>
      </w:r>
      <w:r>
        <w:rPr>
          <w:lang w:val="en-US"/>
        </w:rPr>
      </w:r>
      <w:r>
        <w:rPr>
          <w:lang w:val="en-US"/>
        </w:rPr>
        <w:fldChar w:fldCharType="separate"/>
      </w:r>
      <w:r w:rsidR="00372623">
        <w:rPr>
          <w:lang w:val="en-US"/>
        </w:rPr>
        <w:t>19</w:t>
      </w:r>
      <w:r>
        <w:rPr>
          <w:lang w:val="en-US"/>
        </w:rPr>
        <w:fldChar w:fldCharType="end"/>
      </w:r>
      <w:r w:rsidRPr="005B662A">
        <w:rPr>
          <w:lang w:val="en-US"/>
        </w:rPr>
        <w:t xml:space="preserve">. </w:t>
      </w:r>
    </w:p>
  </w:footnote>
  <w:footnote w:id="51">
    <w:p w14:paraId="12F8D03B" w14:textId="5C813F01" w:rsidR="00241E56" w:rsidRDefault="00241E56">
      <w:pPr>
        <w:pStyle w:val="FootnoteText"/>
      </w:pPr>
      <w:r>
        <w:rPr>
          <w:rStyle w:val="FootnoteReference"/>
        </w:rPr>
        <w:footnoteRef/>
      </w:r>
      <w:r>
        <w:t xml:space="preserve"> Victorian Law Reform Commission, n </w:t>
      </w:r>
      <w:r>
        <w:fldChar w:fldCharType="begin"/>
      </w:r>
      <w:r>
        <w:instrText xml:space="preserve"> NOTEREF _Ref17104629 \h </w:instrText>
      </w:r>
      <w:r>
        <w:fldChar w:fldCharType="separate"/>
      </w:r>
      <w:r w:rsidR="00372623">
        <w:t>42</w:t>
      </w:r>
      <w:r>
        <w:fldChar w:fldCharType="end"/>
      </w:r>
      <w:r>
        <w:t xml:space="preserve">, the VLRC found that some </w:t>
      </w:r>
      <w:r w:rsidRPr="00657DFC">
        <w:t xml:space="preserve">victims </w:t>
      </w:r>
      <w:r>
        <w:t xml:space="preserve">report finding </w:t>
      </w:r>
      <w:r w:rsidRPr="00657DFC">
        <w:t>cross-examination at committal a positive experience</w:t>
      </w:r>
      <w:r>
        <w:t>.</w:t>
      </w:r>
    </w:p>
  </w:footnote>
  <w:footnote w:id="52">
    <w:p w14:paraId="47E1DB41" w14:textId="77777777" w:rsidR="00241E56" w:rsidRPr="00B92EFF" w:rsidRDefault="00241E56" w:rsidP="00AB5535">
      <w:pPr>
        <w:pStyle w:val="FootnoteText"/>
        <w:rPr>
          <w:lang w:val="en-US"/>
        </w:rPr>
      </w:pPr>
      <w:r w:rsidRPr="00B92EFF">
        <w:rPr>
          <w:rStyle w:val="FootnoteReference"/>
        </w:rPr>
        <w:footnoteRef/>
      </w:r>
      <w:r w:rsidRPr="00B92EFF">
        <w:t xml:space="preserve"> </w:t>
      </w:r>
      <w:r w:rsidRPr="00B92EFF">
        <w:rPr>
          <w:i/>
        </w:rPr>
        <w:t>Criminal Organisations Control and Other Acts Amendment Act 2014</w:t>
      </w:r>
      <w:r w:rsidRPr="00B92EFF">
        <w:rPr>
          <w:i/>
          <w:iCs/>
        </w:rPr>
        <w:t xml:space="preserve"> </w:t>
      </w:r>
      <w:r w:rsidRPr="00B92EFF">
        <w:t>(Vic)</w:t>
      </w:r>
      <w:r>
        <w:t xml:space="preserve"> amended ss </w:t>
      </w:r>
      <w:r w:rsidRPr="00FB055B">
        <w:t xml:space="preserve">123 and 124 of the </w:t>
      </w:r>
      <w:r w:rsidRPr="00FB055B">
        <w:rPr>
          <w:i/>
        </w:rPr>
        <w:t>Criminal Procedure Act 2009</w:t>
      </w:r>
      <w:r w:rsidRPr="00FB055B">
        <w:t xml:space="preserve"> (Vic)</w:t>
      </w:r>
      <w:r w:rsidRPr="00B92EFF">
        <w:t>.</w:t>
      </w:r>
    </w:p>
  </w:footnote>
  <w:footnote w:id="53">
    <w:p w14:paraId="177BE03F" w14:textId="77777777" w:rsidR="00241E56" w:rsidRPr="00B92EFF" w:rsidRDefault="00241E56" w:rsidP="002B0FCE">
      <w:pPr>
        <w:pStyle w:val="FootnoteText"/>
      </w:pPr>
      <w:r w:rsidRPr="00B92EFF">
        <w:rPr>
          <w:rStyle w:val="FootnoteReference"/>
        </w:rPr>
        <w:footnoteRef/>
      </w:r>
      <w:r w:rsidRPr="00B92EFF">
        <w:t xml:space="preserve"> </w:t>
      </w:r>
      <w:r w:rsidRPr="00B92EFF">
        <w:rPr>
          <w:lang w:val="en-GB" w:eastAsia="en-AU"/>
        </w:rPr>
        <w:t xml:space="preserve">A new explanatory note inserted at the foot of s124(4) of the Criminal Procedure Act clarified that the credibility rule, contained in sections 102 and 103(1) of the </w:t>
      </w:r>
      <w:r w:rsidRPr="00B92EFF">
        <w:rPr>
          <w:i/>
          <w:lang w:val="en-GB" w:eastAsia="en-AU"/>
        </w:rPr>
        <w:t>Evidence Act 2008</w:t>
      </w:r>
      <w:r w:rsidRPr="00B92EFF">
        <w:rPr>
          <w:lang w:val="en-GB" w:eastAsia="en-AU"/>
        </w:rPr>
        <w:t>,</w:t>
      </w:r>
      <w:r w:rsidRPr="00B92EFF">
        <w:rPr>
          <w:i/>
          <w:lang w:val="en-GB" w:eastAsia="en-AU"/>
        </w:rPr>
        <w:t xml:space="preserve"> </w:t>
      </w:r>
      <w:r w:rsidRPr="00B92EFF">
        <w:rPr>
          <w:lang w:val="en-GB" w:eastAsia="en-AU"/>
        </w:rPr>
        <w:t>applies in committal hearings.</w:t>
      </w:r>
    </w:p>
  </w:footnote>
  <w:footnote w:id="54">
    <w:p w14:paraId="11462A23" w14:textId="6AF071E1" w:rsidR="00241E56" w:rsidRDefault="00241E56" w:rsidP="00166B2A">
      <w:pPr>
        <w:pStyle w:val="FootnoteText"/>
        <w:rPr>
          <w:rFonts w:ascii="Calibri" w:eastAsiaTheme="minorHAnsi" w:hAnsi="Calibri" w:cs="Calibri"/>
          <w:lang w:val="en-US"/>
        </w:rPr>
      </w:pPr>
      <w:r>
        <w:rPr>
          <w:rStyle w:val="FootnoteReference"/>
        </w:rPr>
        <w:footnoteRef/>
      </w:r>
      <w:r>
        <w:t xml:space="preserve"> Victorian Law Reform Commission, above n </w:t>
      </w:r>
      <w:r>
        <w:fldChar w:fldCharType="begin"/>
      </w:r>
      <w:r>
        <w:instrText xml:space="preserve"> NOTEREF _Ref17104629 \h </w:instrText>
      </w:r>
      <w:r>
        <w:fldChar w:fldCharType="separate"/>
      </w:r>
      <w:r w:rsidR="00372623">
        <w:t>42</w:t>
      </w:r>
      <w:r>
        <w:fldChar w:fldCharType="end"/>
      </w:r>
      <w:r>
        <w:t xml:space="preserve">, Recommendation </w:t>
      </w:r>
      <w:r>
        <w:rPr>
          <w:lang w:eastAsia="en-AU"/>
        </w:rPr>
        <w:t>39.</w:t>
      </w:r>
    </w:p>
  </w:footnote>
  <w:footnote w:id="55">
    <w:p w14:paraId="11607FB8" w14:textId="20D750FC" w:rsidR="00241E56" w:rsidRDefault="00241E56" w:rsidP="000D2721">
      <w:pPr>
        <w:pStyle w:val="FootnoteText"/>
      </w:pPr>
      <w:r>
        <w:rPr>
          <w:rStyle w:val="FootnoteReference"/>
        </w:rPr>
        <w:footnoteRef/>
      </w:r>
      <w:r>
        <w:rPr>
          <w:i/>
        </w:rPr>
        <w:t xml:space="preserve"> </w:t>
      </w:r>
      <w:r w:rsidRPr="002A305D">
        <w:rPr>
          <w:i/>
        </w:rPr>
        <w:t>Justice Legislation Miscellaneous Amendment Act 2018</w:t>
      </w:r>
      <w:r>
        <w:rPr>
          <w:i/>
        </w:rPr>
        <w:t>.</w:t>
      </w:r>
      <w:r>
        <w:t xml:space="preserve"> </w:t>
      </w:r>
    </w:p>
  </w:footnote>
  <w:footnote w:id="56">
    <w:p w14:paraId="3E1063C6" w14:textId="6141ABA8" w:rsidR="00241E56" w:rsidRPr="00B92EFF" w:rsidRDefault="00241E56" w:rsidP="006B506B">
      <w:pPr>
        <w:pStyle w:val="FootnoteText"/>
        <w:rPr>
          <w:lang w:val="en-US"/>
        </w:rPr>
      </w:pPr>
      <w:r w:rsidRPr="00B92EFF">
        <w:rPr>
          <w:rStyle w:val="FootnoteReference"/>
        </w:rPr>
        <w:footnoteRef/>
      </w:r>
      <w:r w:rsidRPr="00B92EFF">
        <w:t xml:space="preserve"> </w:t>
      </w:r>
      <w:r>
        <w:t xml:space="preserve">The </w:t>
      </w:r>
      <w:r w:rsidRPr="00B92EFF">
        <w:rPr>
          <w:i/>
        </w:rPr>
        <w:t>Criminal Procedure Act 2009</w:t>
      </w:r>
      <w:r w:rsidRPr="00B92EFF">
        <w:t xml:space="preserve"> (Vic), s </w:t>
      </w:r>
      <w:r>
        <w:t>124(5) requires the magistrate to take special considerations into account in determining whether to grant leave to cross-examine a person under 18 years of age, including the need to minimise the trauma that might be experienced by the witness in giving evidence; and any relevant condition or characteristic of the witness, including age, culture, personality, education and level of understanding; and any mental, intellectual or physical disability to which the witness is or appears to be subject and of which the court is aware.</w:t>
      </w:r>
    </w:p>
  </w:footnote>
  <w:footnote w:id="57">
    <w:p w14:paraId="0B234014" w14:textId="77777777" w:rsidR="00241E56" w:rsidRPr="00B92EFF" w:rsidRDefault="00241E56" w:rsidP="002D0923">
      <w:pPr>
        <w:pStyle w:val="FootnoteText"/>
        <w:rPr>
          <w:lang w:val="en-US"/>
        </w:rPr>
      </w:pPr>
      <w:r w:rsidRPr="00B92EFF">
        <w:rPr>
          <w:rStyle w:val="FootnoteReference"/>
        </w:rPr>
        <w:footnoteRef/>
      </w:r>
      <w:r w:rsidRPr="00B92EFF">
        <w:t xml:space="preserve"> </w:t>
      </w:r>
      <w:r w:rsidRPr="00B92EFF">
        <w:rPr>
          <w:i/>
        </w:rPr>
        <w:t>Criminal Procedure Act 2009</w:t>
      </w:r>
      <w:r w:rsidRPr="00B92EFF">
        <w:t xml:space="preserve"> (Vic), s 360.</w:t>
      </w:r>
    </w:p>
  </w:footnote>
  <w:footnote w:id="58">
    <w:p w14:paraId="4E062AED" w14:textId="31305E67" w:rsidR="00241E56" w:rsidRPr="00B92EFF" w:rsidRDefault="00241E56" w:rsidP="000D2721">
      <w:pPr>
        <w:pStyle w:val="FootnoteText"/>
        <w:rPr>
          <w:lang w:val="en-US"/>
        </w:rPr>
      </w:pPr>
      <w:r w:rsidRPr="00B92EFF">
        <w:rPr>
          <w:rStyle w:val="FootnoteReference"/>
        </w:rPr>
        <w:footnoteRef/>
      </w:r>
      <w:r w:rsidRPr="00B92EFF">
        <w:t xml:space="preserve"> VLRC, </w:t>
      </w:r>
      <w:r w:rsidRPr="00B92EFF">
        <w:rPr>
          <w:lang w:val="en-US"/>
        </w:rPr>
        <w:t xml:space="preserve">recommendation 37, above n </w:t>
      </w:r>
      <w:r>
        <w:rPr>
          <w:lang w:val="en-US"/>
        </w:rPr>
        <w:fldChar w:fldCharType="begin"/>
      </w:r>
      <w:r>
        <w:rPr>
          <w:lang w:val="en-US"/>
        </w:rPr>
        <w:instrText xml:space="preserve"> NOTEREF _Ref17104629 \h </w:instrText>
      </w:r>
      <w:r>
        <w:rPr>
          <w:lang w:val="en-US"/>
        </w:rPr>
      </w:r>
      <w:r>
        <w:rPr>
          <w:lang w:val="en-US"/>
        </w:rPr>
        <w:fldChar w:fldCharType="separate"/>
      </w:r>
      <w:r w:rsidR="00372623">
        <w:rPr>
          <w:lang w:val="en-US"/>
        </w:rPr>
        <w:t>42</w:t>
      </w:r>
      <w:r>
        <w:rPr>
          <w:lang w:val="en-US"/>
        </w:rPr>
        <w:fldChar w:fldCharType="end"/>
      </w:r>
      <w:r w:rsidRPr="00B92EFF">
        <w:rPr>
          <w:lang w:val="en-US"/>
        </w:rPr>
        <w:t xml:space="preserve">, 38. </w:t>
      </w:r>
    </w:p>
  </w:footnote>
  <w:footnote w:id="59">
    <w:p w14:paraId="625E00C0" w14:textId="1EFD5550" w:rsidR="00241E56" w:rsidRPr="00B92EFF" w:rsidRDefault="00241E56" w:rsidP="002D0923">
      <w:pPr>
        <w:pStyle w:val="FootnoteText"/>
      </w:pPr>
      <w:r w:rsidRPr="00B92EFF">
        <w:rPr>
          <w:rStyle w:val="FootnoteReference"/>
        </w:rPr>
        <w:footnoteRef/>
      </w:r>
      <w:r w:rsidRPr="00B92EFF">
        <w:t xml:space="preserve"> </w:t>
      </w:r>
      <w:r w:rsidRPr="00B92EFF">
        <w:rPr>
          <w:rFonts w:cs="Arial"/>
          <w:i/>
        </w:rPr>
        <w:t>Criminal Procedure Act 2009</w:t>
      </w:r>
      <w:r w:rsidRPr="00B92EFF">
        <w:rPr>
          <w:rFonts w:cs="Arial"/>
        </w:rPr>
        <w:t xml:space="preserve"> (Vic) </w:t>
      </w:r>
      <w:r>
        <w:rPr>
          <w:color w:val="000000"/>
          <w:lang w:eastAsia="en-AU"/>
        </w:rPr>
        <w:t xml:space="preserve">s </w:t>
      </w:r>
      <w:r w:rsidRPr="00B92EFF">
        <w:rPr>
          <w:color w:val="000000"/>
          <w:lang w:eastAsia="en-AU"/>
        </w:rPr>
        <w:t>389B.</w:t>
      </w:r>
    </w:p>
  </w:footnote>
  <w:footnote w:id="60">
    <w:p w14:paraId="64B878BE" w14:textId="64A24F8B" w:rsidR="00241E56" w:rsidRPr="00B92EFF" w:rsidRDefault="00241E56" w:rsidP="00633B81">
      <w:pPr>
        <w:pStyle w:val="FootnoteText"/>
      </w:pPr>
      <w:r w:rsidRPr="00B92EFF">
        <w:rPr>
          <w:rStyle w:val="FootnoteReference"/>
        </w:rPr>
        <w:footnoteRef/>
      </w:r>
      <w:r w:rsidRPr="00B92EFF">
        <w:t xml:space="preserve"> </w:t>
      </w:r>
      <w:r w:rsidRPr="00B92EFF">
        <w:rPr>
          <w:rFonts w:cs="Arial"/>
          <w:i/>
        </w:rPr>
        <w:t>Criminal Procedure Act 2009</w:t>
      </w:r>
      <w:r w:rsidRPr="00B92EFF">
        <w:rPr>
          <w:rFonts w:cs="Arial"/>
        </w:rPr>
        <w:t xml:space="preserve"> (Vic) </w:t>
      </w:r>
      <w:r w:rsidRPr="00B92EFF">
        <w:t>s</w:t>
      </w:r>
      <w:r>
        <w:t xml:space="preserve"> </w:t>
      </w:r>
      <w:r w:rsidRPr="00B92EFF">
        <w:t>124.</w:t>
      </w:r>
    </w:p>
  </w:footnote>
  <w:footnote w:id="61">
    <w:p w14:paraId="13FCF8E1" w14:textId="41D26635" w:rsidR="00241E56" w:rsidRPr="00B92EFF" w:rsidRDefault="00241E56" w:rsidP="00633B81">
      <w:pPr>
        <w:pStyle w:val="FootnoteText"/>
        <w:rPr>
          <w:lang w:val="en-US"/>
        </w:rPr>
      </w:pPr>
      <w:r w:rsidRPr="00B92EFF">
        <w:rPr>
          <w:rStyle w:val="FootnoteReference"/>
        </w:rPr>
        <w:footnoteRef/>
      </w:r>
      <w:r w:rsidRPr="00B92EFF">
        <w:t xml:space="preserve"> </w:t>
      </w:r>
      <w:r w:rsidRPr="00B92EFF">
        <w:rPr>
          <w:rFonts w:cs="Arial"/>
          <w:i/>
        </w:rPr>
        <w:t>Criminal Procedure Act 2009</w:t>
      </w:r>
      <w:r w:rsidRPr="00B92EFF">
        <w:rPr>
          <w:rFonts w:cs="Arial"/>
        </w:rPr>
        <w:t xml:space="preserve"> (Vic) </w:t>
      </w:r>
      <w:r w:rsidRPr="00B92EFF">
        <w:t>s</w:t>
      </w:r>
      <w:r>
        <w:t xml:space="preserve"> </w:t>
      </w:r>
      <w:r w:rsidRPr="00B92EFF">
        <w:t>123.</w:t>
      </w:r>
    </w:p>
  </w:footnote>
  <w:footnote w:id="62">
    <w:p w14:paraId="6AE479C5" w14:textId="42E9B94B" w:rsidR="00241E56" w:rsidRPr="00B92EFF" w:rsidRDefault="00241E56" w:rsidP="00633B81">
      <w:pPr>
        <w:pStyle w:val="FootnoteText"/>
      </w:pPr>
      <w:r w:rsidRPr="00B92EFF">
        <w:rPr>
          <w:rStyle w:val="FootnoteReference"/>
        </w:rPr>
        <w:footnoteRef/>
      </w:r>
      <w:r w:rsidRPr="1C305984">
        <w:t xml:space="preserve"> </w:t>
      </w:r>
      <w:r w:rsidRPr="003D4AF1">
        <w:rPr>
          <w:i/>
        </w:rPr>
        <w:t xml:space="preserve">Criminal Procedure Act 2009 </w:t>
      </w:r>
      <w:r w:rsidRPr="1C305984">
        <w:t xml:space="preserve">(Vic) </w:t>
      </w:r>
      <w:r w:rsidRPr="003D4AF1">
        <w:rPr>
          <w:rFonts w:eastAsiaTheme="minorEastAsia"/>
        </w:rPr>
        <w:t>s 141.</w:t>
      </w:r>
    </w:p>
  </w:footnote>
  <w:footnote w:id="63">
    <w:p w14:paraId="2A800FD6" w14:textId="1C70B5B6" w:rsidR="00241E56" w:rsidRPr="003D4AF1" w:rsidRDefault="00241E56" w:rsidP="00633B81">
      <w:pPr>
        <w:pStyle w:val="FootnoteText"/>
        <w:rPr>
          <w:highlight w:val="yellow"/>
        </w:rPr>
      </w:pPr>
      <w:r w:rsidRPr="00B92EFF">
        <w:rPr>
          <w:rStyle w:val="FootnoteReference"/>
        </w:rPr>
        <w:footnoteRef/>
      </w:r>
      <w:r>
        <w:t xml:space="preserve"> </w:t>
      </w:r>
      <w:r w:rsidRPr="00B92EFF">
        <w:t xml:space="preserve">Office of Public Prosecutions, above n </w:t>
      </w:r>
      <w:r>
        <w:fldChar w:fldCharType="begin"/>
      </w:r>
      <w:r>
        <w:instrText xml:space="preserve"> NOTEREF _Ref17119334 \h </w:instrText>
      </w:r>
      <w:r>
        <w:fldChar w:fldCharType="separate"/>
      </w:r>
      <w:r w:rsidR="00372623">
        <w:t>2</w:t>
      </w:r>
      <w:r>
        <w:fldChar w:fldCharType="end"/>
      </w:r>
      <w:r w:rsidRPr="30382D5E">
        <w:t>,</w:t>
      </w:r>
      <w:r w:rsidRPr="1D68C135">
        <w:t xml:space="preserve"> </w:t>
      </w:r>
      <w:r w:rsidRPr="30382D5E">
        <w:t>75</w:t>
      </w:r>
      <w:r w:rsidRPr="00B92EFF">
        <w:t>.</w:t>
      </w:r>
    </w:p>
  </w:footnote>
  <w:footnote w:id="64">
    <w:p w14:paraId="0DEC4A21" w14:textId="44CD55C1" w:rsidR="00241E56" w:rsidRPr="00B92EFF" w:rsidRDefault="00241E56" w:rsidP="00633B81">
      <w:pPr>
        <w:pStyle w:val="FootnoteText"/>
        <w:rPr>
          <w:szCs w:val="18"/>
        </w:rPr>
      </w:pPr>
      <w:r w:rsidRPr="00B92EFF">
        <w:rPr>
          <w:rStyle w:val="FootnoteReference"/>
          <w:szCs w:val="18"/>
        </w:rPr>
        <w:footnoteRef/>
      </w:r>
      <w:r w:rsidRPr="00B92EFF">
        <w:rPr>
          <w:szCs w:val="18"/>
        </w:rPr>
        <w:t xml:space="preserve"> </w:t>
      </w:r>
      <w:r w:rsidRPr="00C23BAB">
        <w:rPr>
          <w:rFonts w:cs="Arial"/>
          <w:szCs w:val="18"/>
        </w:rPr>
        <w:t xml:space="preserve">Michaela Whitbourn, ‘Court verdicts: More found innocent if no jury involved’, </w:t>
      </w:r>
      <w:r w:rsidRPr="00C23BAB">
        <w:rPr>
          <w:rFonts w:cs="Arial"/>
          <w:i/>
          <w:szCs w:val="18"/>
        </w:rPr>
        <w:t xml:space="preserve">The Sydney Morning Herald </w:t>
      </w:r>
      <w:r w:rsidRPr="00C23BAB">
        <w:rPr>
          <w:rFonts w:cs="Arial"/>
          <w:szCs w:val="18"/>
        </w:rPr>
        <w:t>(online, 23 November 2013) &lt;</w:t>
      </w:r>
      <w:hyperlink r:id="rId2" w:history="1">
        <w:r w:rsidRPr="00B40571">
          <w:rPr>
            <w:rStyle w:val="Hyperlink"/>
            <w:color w:val="0462C1"/>
          </w:rPr>
          <w:t>https://www.smh.com.au/national/nsw/court-verdicts-more-found-innocent-if-no-</w:t>
        </w:r>
      </w:hyperlink>
      <w:r w:rsidRPr="00C23BAB">
        <w:rPr>
          <w:rFonts w:cs="Arial"/>
          <w:color w:val="0462C1"/>
          <w:szCs w:val="18"/>
        </w:rPr>
        <w:t xml:space="preserve"> </w:t>
      </w:r>
      <w:hyperlink r:id="rId3" w:history="1">
        <w:r w:rsidRPr="00B40571">
          <w:rPr>
            <w:rStyle w:val="Hyperlink"/>
            <w:color w:val="0462C1"/>
          </w:rPr>
          <w:t>jury-involved-20131122-2y17l.html</w:t>
        </w:r>
      </w:hyperlink>
      <w:r w:rsidRPr="00C23BAB">
        <w:rPr>
          <w:rFonts w:cs="Arial"/>
          <w:szCs w:val="18"/>
        </w:rPr>
        <w:t xml:space="preserve">&gt;; Office of Public Prosecutions Western Australia, </w:t>
      </w:r>
      <w:r w:rsidRPr="00C23BAB">
        <w:rPr>
          <w:rFonts w:cs="Arial"/>
          <w:i/>
          <w:szCs w:val="18"/>
        </w:rPr>
        <w:t xml:space="preserve">2015/2016 Annual Report </w:t>
      </w:r>
      <w:r w:rsidRPr="00B93FB9">
        <w:rPr>
          <w:rFonts w:cs="Arial"/>
          <w:szCs w:val="18"/>
        </w:rPr>
        <w:t>(Office of Public Prosecutions Reports, 30 June 2016) 8.</w:t>
      </w:r>
    </w:p>
  </w:footnote>
  <w:footnote w:id="65">
    <w:p w14:paraId="3CE48F1B" w14:textId="018F536A" w:rsidR="00241E56" w:rsidRPr="0051463C" w:rsidRDefault="00241E56" w:rsidP="00633B81">
      <w:pPr>
        <w:pStyle w:val="FootnoteText"/>
        <w:rPr>
          <w:rFonts w:cs="Arial"/>
        </w:rPr>
      </w:pPr>
      <w:r w:rsidRPr="00B92EFF">
        <w:rPr>
          <w:rStyle w:val="FootnoteReference"/>
        </w:rPr>
        <w:footnoteRef/>
      </w:r>
      <w:r w:rsidRPr="00C32B1E">
        <w:rPr>
          <w:rFonts w:cs="Arial"/>
        </w:rPr>
        <w:t xml:space="preserve"> VLRC,</w:t>
      </w:r>
      <w:r w:rsidRPr="0051463C">
        <w:rPr>
          <w:rFonts w:cs="Arial"/>
        </w:rPr>
        <w:t xml:space="preserve"> above n </w:t>
      </w:r>
      <w:r>
        <w:rPr>
          <w:rFonts w:cs="Arial"/>
        </w:rPr>
        <w:fldChar w:fldCharType="begin"/>
      </w:r>
      <w:r>
        <w:rPr>
          <w:rFonts w:cs="Arial"/>
        </w:rPr>
        <w:instrText xml:space="preserve"> NOTEREF _Ref17119447 \h </w:instrText>
      </w:r>
      <w:r>
        <w:rPr>
          <w:rFonts w:cs="Arial"/>
        </w:rPr>
      </w:r>
      <w:r>
        <w:rPr>
          <w:rFonts w:cs="Arial"/>
        </w:rPr>
        <w:fldChar w:fldCharType="separate"/>
      </w:r>
      <w:r w:rsidR="00372623">
        <w:rPr>
          <w:rFonts w:cs="Arial"/>
        </w:rPr>
        <w:t>1</w:t>
      </w:r>
      <w:r>
        <w:rPr>
          <w:rFonts w:cs="Arial"/>
        </w:rPr>
        <w:fldChar w:fldCharType="end"/>
      </w:r>
      <w:r w:rsidRPr="0051463C">
        <w:rPr>
          <w:rFonts w:cs="Arial"/>
        </w:rPr>
        <w:t>,</w:t>
      </w:r>
      <w:r w:rsidRPr="00A020B5">
        <w:rPr>
          <w:rFonts w:cs="Arial"/>
        </w:rPr>
        <w:t xml:space="preserve"> </w:t>
      </w:r>
      <w:r w:rsidRPr="0051463C">
        <w:rPr>
          <w:rFonts w:cs="Arial"/>
        </w:rPr>
        <w:t xml:space="preserve">11. </w:t>
      </w:r>
    </w:p>
  </w:footnote>
  <w:footnote w:id="66">
    <w:p w14:paraId="32454D57" w14:textId="77777777" w:rsidR="00241E56" w:rsidRPr="00B92EFF" w:rsidRDefault="00241E56" w:rsidP="00BF2401">
      <w:pPr>
        <w:pStyle w:val="FootnoteText"/>
      </w:pPr>
      <w:r w:rsidRPr="00B92EFF">
        <w:rPr>
          <w:rStyle w:val="FootnoteReference"/>
        </w:rPr>
        <w:footnoteRef/>
      </w:r>
      <w:r w:rsidRPr="00B92EFF">
        <w:t xml:space="preserve"> </w:t>
      </w:r>
      <w:r w:rsidRPr="00B92EFF">
        <w:rPr>
          <w:i/>
          <w:iCs/>
        </w:rPr>
        <w:t>Director of Public Prosecutions Reference No 1 of 2017</w:t>
      </w:r>
      <w:r w:rsidRPr="00B92EFF">
        <w:t xml:space="preserve"> [2019] HCA 9.</w:t>
      </w:r>
    </w:p>
  </w:footnote>
  <w:footnote w:id="67">
    <w:p w14:paraId="30D8E855" w14:textId="77777777" w:rsidR="00241E56" w:rsidRPr="00B92EFF" w:rsidRDefault="00241E56" w:rsidP="004D7996">
      <w:pPr>
        <w:pStyle w:val="FootnoteText"/>
      </w:pPr>
      <w:r w:rsidRPr="00B92EFF">
        <w:rPr>
          <w:rStyle w:val="FootnoteReference"/>
        </w:rPr>
        <w:footnoteRef/>
      </w:r>
      <w:r w:rsidRPr="00B92EFF">
        <w:t xml:space="preserve"> 32.8% </w:t>
      </w:r>
      <w:r w:rsidRPr="00B92EFF">
        <w:rPr>
          <w:rStyle w:val="FootnoteReference"/>
          <w:vertAlign w:val="baseline"/>
        </w:rPr>
        <w:t>resolved</w:t>
      </w:r>
      <w:r w:rsidRPr="00B92EFF">
        <w:t xml:space="preserve"> at Further Final Directions Hearing and </w:t>
      </w:r>
      <w:r w:rsidRPr="00C22DB8">
        <w:t>37.2%</w:t>
      </w:r>
      <w:r w:rsidRPr="1421E308">
        <w:t xml:space="preserve"> </w:t>
      </w:r>
      <w:r w:rsidRPr="00C22DB8">
        <w:t>finalised</w:t>
      </w:r>
      <w:r w:rsidRPr="00B92EFF">
        <w:t xml:space="preserve"> at </w:t>
      </w:r>
      <w:r w:rsidRPr="00C22DB8">
        <w:t>first day of trial,</w:t>
      </w:r>
      <w:r w:rsidRPr="00B92EFF">
        <w:t xml:space="preserve"> See County Court of Victoria, </w:t>
      </w:r>
      <w:r w:rsidRPr="00B92EFF">
        <w:rPr>
          <w:i/>
          <w:iCs/>
        </w:rPr>
        <w:t>Annual</w:t>
      </w:r>
      <w:r w:rsidRPr="00B92EFF">
        <w:t xml:space="preserve"> </w:t>
      </w:r>
      <w:r w:rsidRPr="00B92EFF">
        <w:rPr>
          <w:i/>
          <w:iCs/>
        </w:rPr>
        <w:t>Report</w:t>
      </w:r>
      <w:r w:rsidRPr="0064054F">
        <w:rPr>
          <w:i/>
          <w:iCs/>
        </w:rPr>
        <w:t xml:space="preserve"> 2</w:t>
      </w:r>
      <w:r w:rsidRPr="00AF0E65">
        <w:rPr>
          <w:i/>
          <w:iCs/>
        </w:rPr>
        <w:t>0</w:t>
      </w:r>
      <w:r w:rsidRPr="003D4AF1">
        <w:rPr>
          <w:i/>
        </w:rPr>
        <w:t>17-2018</w:t>
      </w:r>
      <w:r w:rsidRPr="0064054F">
        <w:rPr>
          <w:i/>
          <w:iCs/>
        </w:rPr>
        <w:t xml:space="preserve">, </w:t>
      </w:r>
      <w:r>
        <w:t>8</w:t>
      </w:r>
      <w:r w:rsidRPr="00990E71">
        <w:t>1</w:t>
      </w:r>
      <w:r>
        <w:t>8</w:t>
      </w:r>
      <w:r w:rsidRPr="00B92EFF">
        <w:t xml:space="preserve">. </w:t>
      </w:r>
    </w:p>
  </w:footnote>
  <w:footnote w:id="68">
    <w:p w14:paraId="106CD25A" w14:textId="28F5078F" w:rsidR="00241E56" w:rsidRPr="00B92EFF" w:rsidRDefault="00241E56" w:rsidP="001725DA">
      <w:pPr>
        <w:pStyle w:val="FootnoteText"/>
        <w:rPr>
          <w:lang w:val="en-US"/>
        </w:rPr>
      </w:pPr>
      <w:r w:rsidRPr="00B92EFF">
        <w:rPr>
          <w:rStyle w:val="FootnoteReference"/>
        </w:rPr>
        <w:footnoteRef/>
      </w:r>
      <w:r>
        <w:t xml:space="preserve"> Office of Public Prosecutions, above n</w:t>
      </w:r>
      <w:r w:rsidRPr="00B92EFF">
        <w:t xml:space="preserve"> </w:t>
      </w:r>
      <w:r>
        <w:fldChar w:fldCharType="begin"/>
      </w:r>
      <w:r>
        <w:instrText xml:space="preserve"> NOTEREF _Ref17119334 \h </w:instrText>
      </w:r>
      <w:r>
        <w:fldChar w:fldCharType="separate"/>
      </w:r>
      <w:r w:rsidR="00372623">
        <w:t>2</w:t>
      </w:r>
      <w:r>
        <w:fldChar w:fldCharType="end"/>
      </w:r>
      <w:r w:rsidRPr="00B92EFF">
        <w:rPr>
          <w:lang w:val="en-US"/>
        </w:rPr>
        <w:t>, 12.</w:t>
      </w:r>
    </w:p>
  </w:footnote>
  <w:footnote w:id="69">
    <w:p w14:paraId="141E74A1" w14:textId="10FA6A81" w:rsidR="00241E56" w:rsidRDefault="00241E56">
      <w:pPr>
        <w:pStyle w:val="FootnoteText"/>
      </w:pPr>
      <w:r>
        <w:rPr>
          <w:rStyle w:val="FootnoteReference"/>
        </w:rPr>
        <w:footnoteRef/>
      </w:r>
      <w:r>
        <w:t xml:space="preserve"> </w:t>
      </w:r>
      <w:r w:rsidRPr="00A3690B">
        <w:t xml:space="preserve">County Court of Victoria </w:t>
      </w:r>
      <w:r w:rsidRPr="00A3690B">
        <w:rPr>
          <w:i/>
          <w:iCs/>
        </w:rPr>
        <w:t>Annual Report 2016-2017</w:t>
      </w:r>
      <w:r w:rsidRPr="167301A4">
        <w:rPr>
          <w:i/>
          <w:iCs/>
        </w:rPr>
        <w:t xml:space="preserve">, </w:t>
      </w:r>
      <w:r w:rsidRPr="003D4AF1">
        <w:t xml:space="preserve">19 and County Court </w:t>
      </w:r>
      <w:r w:rsidRPr="008B6E22">
        <w:t>Victoria</w:t>
      </w:r>
      <w:r w:rsidRPr="00B40571">
        <w:t>, &lt;https://www.countycourt.vic.gov.au/learn-about-court/court-divisions/criminal-division&gt;, as at 16 August 2019</w:t>
      </w:r>
      <w:r>
        <w:t>.</w:t>
      </w:r>
    </w:p>
  </w:footnote>
  <w:footnote w:id="70">
    <w:p w14:paraId="649D50CF" w14:textId="5226FE8A" w:rsidR="00241E56" w:rsidRPr="00A3690B" w:rsidRDefault="00241E56" w:rsidP="005A66C7">
      <w:pPr>
        <w:pStyle w:val="FootnoteText"/>
      </w:pPr>
      <w:r w:rsidRPr="00A3690B">
        <w:rPr>
          <w:rStyle w:val="FootnoteReference"/>
        </w:rPr>
        <w:footnoteRef/>
      </w:r>
      <w:r w:rsidRPr="00A3690B">
        <w:t xml:space="preserve"> Victoria Legal Aid, </w:t>
      </w:r>
      <w:r w:rsidRPr="7D7C321F">
        <w:t xml:space="preserve">above n </w:t>
      </w:r>
      <w:r>
        <w:fldChar w:fldCharType="begin"/>
      </w:r>
      <w:r>
        <w:instrText xml:space="preserve"> NOTEREF _Ref17105446 \h </w:instrText>
      </w:r>
      <w:r>
        <w:fldChar w:fldCharType="separate"/>
      </w:r>
      <w:r w:rsidR="00372623">
        <w:t>3</w:t>
      </w:r>
      <w:r>
        <w:fldChar w:fldCharType="end"/>
      </w:r>
      <w:r w:rsidRPr="003D4AF1">
        <w:rPr>
          <w:i/>
        </w:rPr>
        <w:t>,</w:t>
      </w:r>
      <w:r w:rsidRPr="00080032">
        <w:rPr>
          <w:i/>
        </w:rPr>
        <w:t xml:space="preserve"> </w:t>
      </w:r>
      <w:r w:rsidRPr="7D7C321F">
        <w:t>15</w:t>
      </w:r>
      <w:r w:rsidRPr="002069CC">
        <w:rPr>
          <w:i/>
          <w:iCs/>
        </w:rPr>
        <w:t>.</w:t>
      </w:r>
    </w:p>
  </w:footnote>
  <w:footnote w:id="71">
    <w:p w14:paraId="0231FBC8" w14:textId="3F50BB51" w:rsidR="00241E56" w:rsidRPr="00B92EFF" w:rsidRDefault="00241E56" w:rsidP="005A66C7">
      <w:pPr>
        <w:pStyle w:val="FootnoteText"/>
        <w:rPr>
          <w:rFonts w:cs="Arial"/>
        </w:rPr>
      </w:pPr>
      <w:r w:rsidRPr="00A3690B">
        <w:rPr>
          <w:rStyle w:val="FootnoteReference"/>
          <w:rFonts w:cs="Arial"/>
        </w:rPr>
        <w:footnoteRef/>
      </w:r>
      <w:r w:rsidRPr="00A3690B">
        <w:rPr>
          <w:rFonts w:cs="Arial"/>
        </w:rPr>
        <w:t xml:space="preserve"> Victoria Legal Aid, </w:t>
      </w:r>
      <w:r w:rsidRPr="00990E71">
        <w:rPr>
          <w:rFonts w:cs="Arial"/>
        </w:rPr>
        <w:t xml:space="preserve">above n </w:t>
      </w:r>
      <w:r>
        <w:rPr>
          <w:rFonts w:cs="Arial"/>
        </w:rPr>
        <w:fldChar w:fldCharType="begin"/>
      </w:r>
      <w:r>
        <w:rPr>
          <w:rFonts w:cs="Arial"/>
        </w:rPr>
        <w:instrText xml:space="preserve"> NOTEREF _Ref17105446 \h </w:instrText>
      </w:r>
      <w:r>
        <w:rPr>
          <w:rFonts w:cs="Arial"/>
        </w:rPr>
      </w:r>
      <w:r>
        <w:rPr>
          <w:rFonts w:cs="Arial"/>
        </w:rPr>
        <w:fldChar w:fldCharType="separate"/>
      </w:r>
      <w:r w:rsidR="00372623">
        <w:rPr>
          <w:rFonts w:cs="Arial"/>
        </w:rPr>
        <w:t>3</w:t>
      </w:r>
      <w:r>
        <w:rPr>
          <w:rFonts w:cs="Arial"/>
        </w:rPr>
        <w:fldChar w:fldCharType="end"/>
      </w:r>
      <w:r w:rsidRPr="00A3690B">
        <w:rPr>
          <w:rFonts w:cs="Arial"/>
        </w:rPr>
        <w:t>, 37 and Victoria Legal Aid,</w:t>
      </w:r>
      <w:r w:rsidRPr="00B92EFF">
        <w:rPr>
          <w:rFonts w:cs="Arial"/>
        </w:rPr>
        <w:t xml:space="preserve"> </w:t>
      </w:r>
      <w:r w:rsidRPr="00B92EFF">
        <w:rPr>
          <w:rFonts w:cs="Arial"/>
          <w:i/>
          <w:iCs/>
        </w:rPr>
        <w:t xml:space="preserve">Annual Report, </w:t>
      </w:r>
      <w:r w:rsidRPr="00B92EFF">
        <w:rPr>
          <w:rFonts w:cs="Arial"/>
        </w:rPr>
        <w:t xml:space="preserve">2016-2017, 147. </w:t>
      </w:r>
    </w:p>
  </w:footnote>
  <w:footnote w:id="72">
    <w:p w14:paraId="5294CE52" w14:textId="77777777" w:rsidR="00241E56" w:rsidRPr="00B92EFF" w:rsidRDefault="00241E56" w:rsidP="005A66C7">
      <w:pPr>
        <w:pStyle w:val="FootnoteText"/>
        <w:rPr>
          <w:lang w:val="en-US"/>
        </w:rPr>
      </w:pPr>
      <w:r w:rsidRPr="00B92EFF">
        <w:rPr>
          <w:rStyle w:val="FootnoteReference"/>
        </w:rPr>
        <w:footnoteRef/>
      </w:r>
      <w:r w:rsidRPr="00B92EFF">
        <w:t xml:space="preserve"> </w:t>
      </w:r>
      <w:r w:rsidRPr="00B92EFF">
        <w:rPr>
          <w:lang w:val="en-US"/>
        </w:rPr>
        <w:t xml:space="preserve">Magistrates’ Court Victoria, </w:t>
      </w:r>
      <w:r w:rsidRPr="00B92EFF">
        <w:rPr>
          <w:i/>
          <w:iCs/>
          <w:lang w:val="en-US"/>
        </w:rPr>
        <w:t>Annual Report</w:t>
      </w:r>
      <w:r w:rsidRPr="00B92EFF">
        <w:rPr>
          <w:lang w:val="en-US"/>
        </w:rPr>
        <w:t xml:space="preserve"> 2016-2017, 33.</w:t>
      </w:r>
    </w:p>
  </w:footnote>
  <w:footnote w:id="73">
    <w:p w14:paraId="31BBEF24" w14:textId="7BA6DB57" w:rsidR="00241E56" w:rsidRPr="003D4AF1" w:rsidRDefault="00241E56" w:rsidP="005A66C7">
      <w:pPr>
        <w:pStyle w:val="FootnoteText"/>
        <w:rPr>
          <w:lang w:val="en-US"/>
        </w:rPr>
      </w:pPr>
      <w:r>
        <w:rPr>
          <w:rStyle w:val="FootnoteReference"/>
        </w:rPr>
        <w:footnoteRef/>
      </w:r>
      <w:r>
        <w:t xml:space="preserve"> </w:t>
      </w:r>
      <w:r>
        <w:rPr>
          <w:lang w:val="en-US"/>
        </w:rPr>
        <w:t xml:space="preserve">VLRC, above n </w:t>
      </w:r>
      <w:r>
        <w:rPr>
          <w:lang w:val="en-US"/>
        </w:rPr>
        <w:fldChar w:fldCharType="begin"/>
      </w:r>
      <w:r>
        <w:rPr>
          <w:lang w:val="en-US"/>
        </w:rPr>
        <w:instrText xml:space="preserve"> NOTEREF _Ref17119447 \h </w:instrText>
      </w:r>
      <w:r>
        <w:rPr>
          <w:lang w:val="en-US"/>
        </w:rPr>
      </w:r>
      <w:r>
        <w:rPr>
          <w:lang w:val="en-US"/>
        </w:rPr>
        <w:fldChar w:fldCharType="separate"/>
      </w:r>
      <w:r w:rsidR="00372623">
        <w:rPr>
          <w:lang w:val="en-US"/>
        </w:rPr>
        <w:t>1</w:t>
      </w:r>
      <w:r>
        <w:rPr>
          <w:lang w:val="en-US"/>
        </w:rPr>
        <w:fldChar w:fldCharType="end"/>
      </w:r>
      <w:r>
        <w:rPr>
          <w:lang w:val="en-US"/>
        </w:rPr>
        <w:t xml:space="preserve">, 19. </w:t>
      </w:r>
    </w:p>
  </w:footnote>
  <w:footnote w:id="74">
    <w:p w14:paraId="11D21046" w14:textId="7BF2CB95" w:rsidR="00241E56" w:rsidRPr="00B92EFF" w:rsidRDefault="00241E56" w:rsidP="005A66C7">
      <w:pPr>
        <w:pStyle w:val="FootnoteText"/>
      </w:pPr>
      <w:r w:rsidRPr="00B92EFF">
        <w:rPr>
          <w:rStyle w:val="FootnoteReference"/>
        </w:rPr>
        <w:footnoteRef/>
      </w:r>
      <w:r w:rsidRPr="00B92EFF">
        <w:t xml:space="preserve"> </w:t>
      </w:r>
      <w:r>
        <w:t xml:space="preserve">VLRC above n </w:t>
      </w:r>
      <w:r>
        <w:fldChar w:fldCharType="begin"/>
      </w:r>
      <w:r>
        <w:instrText xml:space="preserve"> NOTEREF _Ref17119447 \h </w:instrText>
      </w:r>
      <w:r>
        <w:fldChar w:fldCharType="separate"/>
      </w:r>
      <w:r w:rsidR="00372623">
        <w:t>1</w:t>
      </w:r>
      <w:r>
        <w:fldChar w:fldCharType="end"/>
      </w:r>
      <w:r>
        <w:t xml:space="preserve">, 7; </w:t>
      </w:r>
      <w:r w:rsidRPr="00711CE4">
        <w:t xml:space="preserve">David Brereton and John Willis, The Australian Institute of Judicial Administration Incorporated, </w:t>
      </w:r>
      <w:r w:rsidRPr="00711CE4">
        <w:rPr>
          <w:i/>
        </w:rPr>
        <w:t xml:space="preserve">The Committal </w:t>
      </w:r>
      <w:r>
        <w:rPr>
          <w:i/>
        </w:rPr>
        <w:t>i</w:t>
      </w:r>
      <w:r w:rsidRPr="00711CE4">
        <w:rPr>
          <w:i/>
        </w:rPr>
        <w:t>n Australia (</w:t>
      </w:r>
      <w:r w:rsidRPr="00711CE4">
        <w:t>1990), 65.</w:t>
      </w:r>
    </w:p>
  </w:footnote>
  <w:footnote w:id="75">
    <w:p w14:paraId="57987C08" w14:textId="77777777" w:rsidR="00241E56" w:rsidRPr="00B92EFF" w:rsidRDefault="00241E56" w:rsidP="003F7895">
      <w:pPr>
        <w:pStyle w:val="FootnoteText"/>
        <w:rPr>
          <w:rFonts w:cs="Arial"/>
          <w:szCs w:val="18"/>
        </w:rPr>
      </w:pPr>
      <w:r w:rsidRPr="00B92EFF">
        <w:rPr>
          <w:rStyle w:val="FootnoteReference"/>
          <w:rFonts w:cs="Arial"/>
          <w:szCs w:val="18"/>
        </w:rPr>
        <w:footnoteRef/>
      </w:r>
      <w:r w:rsidRPr="00B92EFF">
        <w:rPr>
          <w:rFonts w:cs="Arial"/>
          <w:szCs w:val="18"/>
        </w:rPr>
        <w:t xml:space="preserve"> Asher Flynn, ‘A Committal Waste of Time? Reforming Victoria’s Pre-Trial Process: Lessons from Other Jurisdictions’ (2013) 37(3) </w:t>
      </w:r>
      <w:r w:rsidRPr="00B92EFF">
        <w:rPr>
          <w:rFonts w:cs="Arial"/>
          <w:i/>
          <w:szCs w:val="18"/>
        </w:rPr>
        <w:t xml:space="preserve">Criminal Law Journal </w:t>
      </w:r>
      <w:r w:rsidRPr="00B92EFF">
        <w:rPr>
          <w:rFonts w:cs="Arial"/>
          <w:szCs w:val="18"/>
        </w:rPr>
        <w:t>175, 183.</w:t>
      </w:r>
    </w:p>
  </w:footnote>
  <w:footnote w:id="76">
    <w:p w14:paraId="0FDB1A8C" w14:textId="77777777" w:rsidR="00241E56" w:rsidRPr="00B92EFF" w:rsidRDefault="00241E56" w:rsidP="003F7895">
      <w:pPr>
        <w:pStyle w:val="FootnoteText"/>
        <w:rPr>
          <w:rFonts w:cs="Arial"/>
        </w:rPr>
      </w:pPr>
      <w:r w:rsidRPr="00B92EFF">
        <w:rPr>
          <w:rStyle w:val="FootnoteReference"/>
          <w:rFonts w:cs="Arial"/>
        </w:rPr>
        <w:footnoteRef/>
      </w:r>
      <w:r w:rsidRPr="00B92EFF">
        <w:rPr>
          <w:rFonts w:cs="Arial"/>
        </w:rPr>
        <w:t xml:space="preserve"> </w:t>
      </w:r>
      <w:r w:rsidRPr="003D4AF1">
        <w:rPr>
          <w:i/>
        </w:rPr>
        <w:t>Ibid</w:t>
      </w:r>
      <w:r w:rsidRPr="00B92EFF">
        <w:rPr>
          <w:rFonts w:cs="Arial"/>
        </w:rPr>
        <w:t>, 182.</w:t>
      </w:r>
    </w:p>
  </w:footnote>
  <w:footnote w:id="77">
    <w:p w14:paraId="639625F4" w14:textId="77777777" w:rsidR="00241E56" w:rsidRPr="00B92EFF" w:rsidRDefault="00241E56" w:rsidP="003F7895">
      <w:pPr>
        <w:pStyle w:val="FootnoteText"/>
        <w:rPr>
          <w:rFonts w:cs="Arial"/>
        </w:rPr>
      </w:pPr>
      <w:r w:rsidRPr="00B92EFF">
        <w:rPr>
          <w:rStyle w:val="FootnoteReference"/>
          <w:rFonts w:cs="Arial"/>
        </w:rPr>
        <w:footnoteRef/>
      </w:r>
      <w:r w:rsidRPr="00B92EFF">
        <w:rPr>
          <w:rFonts w:cs="Arial"/>
        </w:rPr>
        <w:t xml:space="preserve"> </w:t>
      </w:r>
      <w:r w:rsidRPr="003D4AF1">
        <w:rPr>
          <w:i/>
        </w:rPr>
        <w:t>Ibid</w:t>
      </w:r>
      <w:r w:rsidRPr="00B92EFF">
        <w:rPr>
          <w:rFonts w:cs="Arial"/>
        </w:rPr>
        <w:t>, 183.</w:t>
      </w:r>
    </w:p>
  </w:footnote>
  <w:footnote w:id="78">
    <w:p w14:paraId="123AEB38" w14:textId="77777777" w:rsidR="00241E56" w:rsidRPr="00B92EFF" w:rsidRDefault="00241E56" w:rsidP="003F7895">
      <w:pPr>
        <w:pStyle w:val="FootnoteText"/>
        <w:rPr>
          <w:rFonts w:cs="Arial"/>
        </w:rPr>
      </w:pPr>
      <w:r w:rsidRPr="00B92EFF">
        <w:rPr>
          <w:rStyle w:val="FootnoteReference"/>
          <w:rFonts w:cs="Arial"/>
        </w:rPr>
        <w:footnoteRef/>
      </w:r>
      <w:r w:rsidRPr="00B92EFF">
        <w:rPr>
          <w:rFonts w:cs="Arial"/>
        </w:rPr>
        <w:t xml:space="preserve"> </w:t>
      </w:r>
      <w:r w:rsidRPr="003D4AF1">
        <w:rPr>
          <w:i/>
        </w:rPr>
        <w:t>Ibid</w:t>
      </w:r>
      <w:r w:rsidRPr="00B92EFF">
        <w:rPr>
          <w:rFonts w:cs="Arial"/>
        </w:rPr>
        <w:t>, 185.</w:t>
      </w:r>
    </w:p>
  </w:footnote>
  <w:footnote w:id="79">
    <w:p w14:paraId="4089AE18" w14:textId="38527ECE" w:rsidR="00241E56" w:rsidRPr="003D4AF1" w:rsidRDefault="00241E56">
      <w:pPr>
        <w:pStyle w:val="FootnoteText"/>
        <w:rPr>
          <w:highlight w:val="yellow"/>
        </w:rPr>
      </w:pPr>
      <w:r>
        <w:rPr>
          <w:rStyle w:val="FootnoteReference"/>
        </w:rPr>
        <w:footnoteRef/>
      </w:r>
      <w:r>
        <w:t xml:space="preserve"> VLRC, above n</w:t>
      </w:r>
      <w:r>
        <w:fldChar w:fldCharType="begin"/>
      </w:r>
      <w:r>
        <w:instrText xml:space="preserve"> NOTEREF _Ref17119447 \h </w:instrText>
      </w:r>
      <w:r>
        <w:fldChar w:fldCharType="separate"/>
      </w:r>
      <w:r w:rsidR="00372623">
        <w:t>1</w:t>
      </w:r>
      <w:r>
        <w:fldChar w:fldCharType="end"/>
      </w:r>
      <w:r w:rsidRPr="1BA88A72">
        <w:t xml:space="preserve">, 20. </w:t>
      </w:r>
    </w:p>
  </w:footnote>
  <w:footnote w:id="80">
    <w:p w14:paraId="379C8C7D" w14:textId="08FBF526" w:rsidR="00241E56" w:rsidRPr="00B92EFF" w:rsidRDefault="00241E56" w:rsidP="003F7895">
      <w:pPr>
        <w:pStyle w:val="FootnoteText"/>
      </w:pPr>
      <w:r w:rsidRPr="00B92EFF">
        <w:rPr>
          <w:rStyle w:val="FootnoteReference"/>
        </w:rPr>
        <w:footnoteRef/>
      </w:r>
      <w:r w:rsidRPr="00B92EFF">
        <w:t xml:space="preserve"> </w:t>
      </w:r>
      <w:r w:rsidRPr="00B92EFF">
        <w:rPr>
          <w:rFonts w:cs="Arial"/>
          <w:i/>
        </w:rPr>
        <w:t>Charter of Human Rights and Responsibilities Act 2006</w:t>
      </w:r>
      <w:r w:rsidRPr="00B92EFF">
        <w:rPr>
          <w:rFonts w:cs="Arial"/>
        </w:rPr>
        <w:t xml:space="preserve"> (Vic), s 25(3).</w:t>
      </w:r>
    </w:p>
  </w:footnote>
  <w:footnote w:id="81">
    <w:p w14:paraId="29917BEF" w14:textId="67343E5A" w:rsidR="00241E56" w:rsidRPr="00B92EFF" w:rsidRDefault="00241E56">
      <w:pPr>
        <w:pStyle w:val="FootnoteText"/>
        <w:rPr>
          <w:lang w:val="en-US"/>
        </w:rPr>
      </w:pPr>
      <w:r w:rsidRPr="00B92EFF">
        <w:rPr>
          <w:rStyle w:val="FootnoteReference"/>
        </w:rPr>
        <w:footnoteRef/>
      </w:r>
      <w:r w:rsidRPr="00B92EFF">
        <w:t xml:space="preserve"> </w:t>
      </w:r>
      <w:r w:rsidRPr="00B92EFF">
        <w:rPr>
          <w:rFonts w:eastAsia="Arial"/>
          <w:i/>
          <w:iCs/>
          <w:lang w:val="en"/>
        </w:rPr>
        <w:t xml:space="preserve">Baker (a pseudonym) v DPP </w:t>
      </w:r>
      <w:r w:rsidRPr="00B92EFF">
        <w:rPr>
          <w:rFonts w:eastAsia="Arial"/>
          <w:lang w:val="en"/>
        </w:rPr>
        <w:t>[2017] VSCA 58</w:t>
      </w:r>
      <w:r>
        <w:rPr>
          <w:rFonts w:eastAsia="Arial"/>
          <w:lang w:val="en"/>
        </w:rPr>
        <w:t>.</w:t>
      </w:r>
    </w:p>
  </w:footnote>
  <w:footnote w:id="82">
    <w:p w14:paraId="1F7602F5" w14:textId="5F187F61" w:rsidR="00241E56" w:rsidRDefault="00241E56" w:rsidP="00B40571">
      <w:pPr>
        <w:pStyle w:val="FootnoteText"/>
      </w:pPr>
      <w:r w:rsidRPr="00B40571">
        <w:rPr>
          <w:rStyle w:val="FootnoteReference"/>
        </w:rPr>
        <w:footnoteRef/>
      </w:r>
      <w:r w:rsidRPr="2FCB4905">
        <w:t xml:space="preserve"> </w:t>
      </w:r>
      <w:r w:rsidRPr="003D4AF1">
        <w:rPr>
          <w:i/>
        </w:rPr>
        <w:t xml:space="preserve">Ibid, </w:t>
      </w:r>
      <w:r w:rsidRPr="2FCB4905">
        <w:t>99.</w:t>
      </w:r>
      <w:r>
        <w:t xml:space="preserve"> </w:t>
      </w:r>
    </w:p>
  </w:footnote>
  <w:footnote w:id="83">
    <w:p w14:paraId="3678324C" w14:textId="0616DA1B" w:rsidR="00241E56" w:rsidRPr="00B92EFF" w:rsidRDefault="00241E56">
      <w:pPr>
        <w:pStyle w:val="FootnoteText"/>
        <w:rPr>
          <w:lang w:val="en-US"/>
        </w:rPr>
      </w:pPr>
      <w:r w:rsidRPr="00B92EFF">
        <w:rPr>
          <w:rStyle w:val="FootnoteReference"/>
        </w:rPr>
        <w:footnoteRef/>
      </w:r>
      <w:r w:rsidRPr="00B92EFF">
        <w:t xml:space="preserve"> Children’s Court of Victoria website, accessed at </w:t>
      </w:r>
      <w:hyperlink r:id="rId4" w:history="1">
        <w:r w:rsidRPr="00B92EFF">
          <w:rPr>
            <w:rStyle w:val="Hyperlink"/>
          </w:rPr>
          <w:t>https://www.childrenscourt.vic.gov.au/about-us/history</w:t>
        </w:r>
      </w:hyperlink>
      <w:r w:rsidRPr="00B92EFF">
        <w:t>.</w:t>
      </w:r>
    </w:p>
  </w:footnote>
  <w:footnote w:id="84">
    <w:p w14:paraId="09FB9F9E" w14:textId="1E41ECA6" w:rsidR="00241E56" w:rsidRDefault="00241E56">
      <w:pPr>
        <w:pStyle w:val="FootnoteText"/>
      </w:pPr>
      <w:r>
        <w:rPr>
          <w:rStyle w:val="FootnoteReference"/>
        </w:rPr>
        <w:footnoteRef/>
      </w:r>
      <w:r>
        <w:t xml:space="preserve"> </w:t>
      </w:r>
      <w:r w:rsidRPr="00B92EFF">
        <w:rPr>
          <w:i/>
          <w:iCs/>
        </w:rPr>
        <w:t>DL (a minor by his litigation guardian) v A Magistrate of the Children's Court &amp; Others</w:t>
      </w:r>
      <w:r w:rsidRPr="00B92EFF">
        <w:t xml:space="preserve"> (Supreme Court of Victoria, unreported, 09/08/1994) at 4, per Vincent J</w:t>
      </w:r>
      <w:r w:rsidRPr="283AE93F">
        <w:t>.</w:t>
      </w:r>
    </w:p>
  </w:footnote>
  <w:footnote w:id="85">
    <w:p w14:paraId="5080ADE3" w14:textId="5653D2B6" w:rsidR="00241E56" w:rsidRDefault="00241E56" w:rsidP="0042106D">
      <w:pPr>
        <w:pStyle w:val="FootnoteText"/>
      </w:pPr>
      <w:r>
        <w:rPr>
          <w:rStyle w:val="FootnoteReference"/>
        </w:rPr>
        <w:footnoteRef/>
      </w:r>
      <w:r>
        <w:t xml:space="preserve"> </w:t>
      </w:r>
      <w:r w:rsidRPr="00B92EFF">
        <w:rPr>
          <w:i/>
          <w:iCs/>
        </w:rPr>
        <w:t>A Child v A Magistrate of the Children's Court &amp; Others</w:t>
      </w:r>
      <w:r w:rsidRPr="00B92EFF">
        <w:t xml:space="preserve"> (Supreme Court of Victoria, unreported, 24.02.1992), at 6 per Cummins J.</w:t>
      </w:r>
    </w:p>
  </w:footnote>
  <w:footnote w:id="86">
    <w:p w14:paraId="5E5CB366" w14:textId="64140872" w:rsidR="00241E56" w:rsidRDefault="00241E56">
      <w:pPr>
        <w:pStyle w:val="FootnoteText"/>
      </w:pPr>
      <w:r>
        <w:rPr>
          <w:rStyle w:val="FootnoteReference"/>
        </w:rPr>
        <w:footnoteRef/>
      </w:r>
      <w:r>
        <w:t xml:space="preserve"> </w:t>
      </w:r>
      <w:r w:rsidRPr="00B92EFF">
        <w:rPr>
          <w:i/>
          <w:iCs/>
        </w:rPr>
        <w:t xml:space="preserve">DPP v Michael Anderson </w:t>
      </w:r>
      <w:r w:rsidRPr="00B92EFF">
        <w:t>[2013] VSCA 45</w:t>
      </w:r>
      <w:r>
        <w:t xml:space="preserve">, 26 </w:t>
      </w:r>
      <w:r w:rsidRPr="4C2D9B22">
        <w:t>(</w:t>
      </w:r>
      <w:r>
        <w:t>Maxwell P, Neave JA and Kaya AJA))</w:t>
      </w:r>
      <w:r w:rsidRPr="00B92EFF">
        <w:t>.</w:t>
      </w:r>
    </w:p>
  </w:footnote>
  <w:footnote w:id="87">
    <w:p w14:paraId="51428539" w14:textId="6DC07E4C" w:rsidR="00241E56" w:rsidRDefault="00241E56">
      <w:pPr>
        <w:pStyle w:val="FootnoteText"/>
      </w:pPr>
      <w:r>
        <w:rPr>
          <w:rStyle w:val="FootnoteReference"/>
        </w:rPr>
        <w:footnoteRef/>
      </w:r>
      <w:r>
        <w:t xml:space="preserve"> </w:t>
      </w:r>
      <w:r w:rsidRPr="00B92EFF">
        <w:rPr>
          <w:i/>
          <w:iCs/>
        </w:rPr>
        <w:t>D (a Child) v White</w:t>
      </w:r>
      <w:r w:rsidRPr="00B92EFF">
        <w:t xml:space="preserve"> [1988] VR 87.</w:t>
      </w:r>
    </w:p>
  </w:footnote>
  <w:footnote w:id="88">
    <w:p w14:paraId="71099F1E" w14:textId="0CDC4660" w:rsidR="00241E56" w:rsidRDefault="00241E56">
      <w:pPr>
        <w:pStyle w:val="FootnoteText"/>
      </w:pPr>
      <w:r>
        <w:rPr>
          <w:rStyle w:val="FootnoteReference"/>
        </w:rPr>
        <w:footnoteRef/>
      </w:r>
      <w:r>
        <w:t xml:space="preserve"> </w:t>
      </w:r>
      <w:r w:rsidRPr="003D4AF1">
        <w:rPr>
          <w:i/>
        </w:rPr>
        <w:t>Ibid</w:t>
      </w:r>
      <w:r w:rsidRPr="00B92EFF">
        <w:t>, 93.</w:t>
      </w:r>
    </w:p>
  </w:footnote>
  <w:footnote w:id="89">
    <w:p w14:paraId="1ADB7F68" w14:textId="515741C4" w:rsidR="00241E56" w:rsidRDefault="00241E56" w:rsidP="00165F8D">
      <w:pPr>
        <w:pStyle w:val="FootnoteText"/>
      </w:pPr>
      <w:r w:rsidRPr="00B40571">
        <w:rPr>
          <w:rStyle w:val="FootnoteReference"/>
        </w:rPr>
        <w:footnoteRef/>
      </w:r>
      <w:r w:rsidRPr="0FEA28DD">
        <w:t xml:space="preserve"> </w:t>
      </w:r>
      <w:r w:rsidRPr="00B92EFF">
        <w:rPr>
          <w:lang w:val="en-US"/>
        </w:rPr>
        <w:t xml:space="preserve">Magistrates’ Court Victoria, </w:t>
      </w:r>
      <w:r w:rsidRPr="00B92EFF">
        <w:rPr>
          <w:i/>
          <w:iCs/>
          <w:lang w:val="en-US"/>
        </w:rPr>
        <w:t>Annual Report</w:t>
      </w:r>
      <w:r w:rsidRPr="00B92EFF">
        <w:rPr>
          <w:lang w:val="en-US"/>
        </w:rPr>
        <w:t xml:space="preserve"> 2016-2017, </w:t>
      </w:r>
      <w:r w:rsidRPr="00CD757A">
        <w:rPr>
          <w:lang w:val="en-US"/>
        </w:rPr>
        <w:t>33</w:t>
      </w:r>
      <w:r>
        <w:t>.</w:t>
      </w:r>
    </w:p>
  </w:footnote>
  <w:footnote w:id="90">
    <w:p w14:paraId="4CBCC468" w14:textId="77777777" w:rsidR="00241E56" w:rsidRPr="00B92EFF" w:rsidRDefault="00241E56" w:rsidP="00633B81">
      <w:pPr>
        <w:pStyle w:val="FootnoteText"/>
        <w:rPr>
          <w:lang w:val="en-US"/>
        </w:rPr>
      </w:pPr>
      <w:r w:rsidRPr="00B92EFF">
        <w:rPr>
          <w:rStyle w:val="FootnoteReference"/>
        </w:rPr>
        <w:footnoteRef/>
      </w:r>
      <w:r w:rsidRPr="00B92EFF">
        <w:t xml:space="preserve"> This is currently a NATEE 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B52A" w14:textId="77777777" w:rsidR="00241E56" w:rsidRDefault="007B27CA">
    <w:pPr>
      <w:pStyle w:val="Header"/>
    </w:pPr>
    <w:r>
      <w:rPr>
        <w:noProof/>
      </w:rPr>
      <w:pict w14:anchorId="02A9D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23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49ED9B09">
        <v:shape id="PowerPlusWaterMarkObject3" o:spid="_x0000_s2050" type="#_x0000_t136" style="position:absolute;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22F3" w14:textId="77777777" w:rsidR="00241E56" w:rsidRPr="009F7B2D" w:rsidRDefault="00241E56" w:rsidP="004E0688">
    <w:pPr>
      <w:pStyle w:val="Header"/>
      <w:jc w:val="right"/>
    </w:pPr>
    <w:r>
      <w:rPr>
        <w:noProof/>
        <w:lang w:eastAsia="en-AU"/>
      </w:rPr>
      <w:drawing>
        <wp:inline distT="0" distB="0" distL="0" distR="0" wp14:anchorId="3B618FD3" wp14:editId="28D75D2F">
          <wp:extent cx="1806575" cy="1445260"/>
          <wp:effectExtent l="0" t="0" r="3175" b="2540"/>
          <wp:docPr id="3" name="Picture 3"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D73D" w14:textId="77777777" w:rsidR="00241E56" w:rsidRDefault="00241E56" w:rsidP="006E2882">
    <w:pPr>
      <w:spacing w:before="400"/>
      <w:jc w:val="right"/>
    </w:pPr>
    <w:r>
      <w:rPr>
        <w:noProof/>
        <w:lang w:eastAsia="en-AU"/>
      </w:rPr>
      <w:drawing>
        <wp:inline distT="0" distB="0" distL="0" distR="0" wp14:anchorId="691E8B25" wp14:editId="53CCF7B0">
          <wp:extent cx="2706370" cy="434975"/>
          <wp:effectExtent l="0" t="0" r="0" b="3175"/>
          <wp:docPr id="4" name="Picture 4"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7B27CA">
      <w:rPr>
        <w:noProof/>
        <w:lang w:eastAsia="en-AU"/>
      </w:rPr>
      <w:pict w14:anchorId="7946E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8240;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A228" w14:textId="77777777" w:rsidR="00241E56" w:rsidRPr="009F7B2D" w:rsidRDefault="00241E56" w:rsidP="005D5637">
    <w:pPr>
      <w:pStyle w:val="Header"/>
      <w:tabs>
        <w:tab w:val="clear" w:pos="4604"/>
        <w:tab w:val="clear" w:pos="9214"/>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F967" w14:textId="77777777" w:rsidR="00241E56" w:rsidRDefault="00241E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35F5" w14:textId="77777777" w:rsidR="00241E56" w:rsidRPr="00665568" w:rsidRDefault="00241E56"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FF0"/>
    <w:multiLevelType w:val="hybridMultilevel"/>
    <w:tmpl w:val="C40E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B4A0B"/>
    <w:multiLevelType w:val="hybridMultilevel"/>
    <w:tmpl w:val="847E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127C8"/>
    <w:multiLevelType w:val="hybridMultilevel"/>
    <w:tmpl w:val="A7FE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217E8"/>
    <w:multiLevelType w:val="hybridMultilevel"/>
    <w:tmpl w:val="86F02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33F5E"/>
    <w:multiLevelType w:val="hybridMultilevel"/>
    <w:tmpl w:val="FFFFFFFF"/>
    <w:lvl w:ilvl="0" w:tplc="654EF9D2">
      <w:start w:val="1"/>
      <w:numFmt w:val="bullet"/>
      <w:lvlText w:val=""/>
      <w:lvlJc w:val="left"/>
      <w:pPr>
        <w:ind w:left="720" w:hanging="360"/>
      </w:pPr>
      <w:rPr>
        <w:rFonts w:ascii="Symbol" w:hAnsi="Symbol" w:hint="default"/>
      </w:rPr>
    </w:lvl>
    <w:lvl w:ilvl="1" w:tplc="7CC6328C">
      <w:start w:val="1"/>
      <w:numFmt w:val="bullet"/>
      <w:lvlText w:val="o"/>
      <w:lvlJc w:val="left"/>
      <w:pPr>
        <w:ind w:left="1440" w:hanging="360"/>
      </w:pPr>
      <w:rPr>
        <w:rFonts w:ascii="Courier New" w:hAnsi="Courier New" w:hint="default"/>
      </w:rPr>
    </w:lvl>
    <w:lvl w:ilvl="2" w:tplc="74984C12">
      <w:start w:val="1"/>
      <w:numFmt w:val="bullet"/>
      <w:lvlText w:val=""/>
      <w:lvlJc w:val="left"/>
      <w:pPr>
        <w:ind w:left="2160" w:hanging="360"/>
      </w:pPr>
      <w:rPr>
        <w:rFonts w:ascii="Wingdings" w:hAnsi="Wingdings" w:hint="default"/>
      </w:rPr>
    </w:lvl>
    <w:lvl w:ilvl="3" w:tplc="C0E6AFB2">
      <w:start w:val="1"/>
      <w:numFmt w:val="bullet"/>
      <w:lvlText w:val=""/>
      <w:lvlJc w:val="left"/>
      <w:pPr>
        <w:ind w:left="2880" w:hanging="360"/>
      </w:pPr>
      <w:rPr>
        <w:rFonts w:ascii="Symbol" w:hAnsi="Symbol" w:hint="default"/>
      </w:rPr>
    </w:lvl>
    <w:lvl w:ilvl="4" w:tplc="E1308CB4">
      <w:start w:val="1"/>
      <w:numFmt w:val="bullet"/>
      <w:lvlText w:val="o"/>
      <w:lvlJc w:val="left"/>
      <w:pPr>
        <w:ind w:left="3600" w:hanging="360"/>
      </w:pPr>
      <w:rPr>
        <w:rFonts w:ascii="Courier New" w:hAnsi="Courier New" w:hint="default"/>
      </w:rPr>
    </w:lvl>
    <w:lvl w:ilvl="5" w:tplc="7B6A1FD2">
      <w:start w:val="1"/>
      <w:numFmt w:val="bullet"/>
      <w:lvlText w:val=""/>
      <w:lvlJc w:val="left"/>
      <w:pPr>
        <w:ind w:left="4320" w:hanging="360"/>
      </w:pPr>
      <w:rPr>
        <w:rFonts w:ascii="Wingdings" w:hAnsi="Wingdings" w:hint="default"/>
      </w:rPr>
    </w:lvl>
    <w:lvl w:ilvl="6" w:tplc="061254BE">
      <w:start w:val="1"/>
      <w:numFmt w:val="bullet"/>
      <w:lvlText w:val=""/>
      <w:lvlJc w:val="left"/>
      <w:pPr>
        <w:ind w:left="5040" w:hanging="360"/>
      </w:pPr>
      <w:rPr>
        <w:rFonts w:ascii="Symbol" w:hAnsi="Symbol" w:hint="default"/>
      </w:rPr>
    </w:lvl>
    <w:lvl w:ilvl="7" w:tplc="59F68942">
      <w:start w:val="1"/>
      <w:numFmt w:val="bullet"/>
      <w:lvlText w:val="o"/>
      <w:lvlJc w:val="left"/>
      <w:pPr>
        <w:ind w:left="5760" w:hanging="360"/>
      </w:pPr>
      <w:rPr>
        <w:rFonts w:ascii="Courier New" w:hAnsi="Courier New" w:hint="default"/>
      </w:rPr>
    </w:lvl>
    <w:lvl w:ilvl="8" w:tplc="1BDE5C64">
      <w:start w:val="1"/>
      <w:numFmt w:val="bullet"/>
      <w:lvlText w:val=""/>
      <w:lvlJc w:val="left"/>
      <w:pPr>
        <w:ind w:left="6480" w:hanging="360"/>
      </w:pPr>
      <w:rPr>
        <w:rFonts w:ascii="Wingdings" w:hAnsi="Wingdings" w:hint="default"/>
      </w:rPr>
    </w:lvl>
  </w:abstractNum>
  <w:abstractNum w:abstractNumId="5"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15:restartNumberingAfterBreak="0">
    <w:nsid w:val="13611654"/>
    <w:multiLevelType w:val="hybridMultilevel"/>
    <w:tmpl w:val="B5A277CE"/>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4AD6B71"/>
    <w:multiLevelType w:val="hybridMultilevel"/>
    <w:tmpl w:val="4DBC9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81733"/>
    <w:multiLevelType w:val="hybridMultilevel"/>
    <w:tmpl w:val="F35A7D78"/>
    <w:lvl w:ilvl="0" w:tplc="D6864964">
      <w:start w:val="1"/>
      <w:numFmt w:val="bullet"/>
      <w:pStyle w:val="VLA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B0A2D"/>
    <w:multiLevelType w:val="hybridMultilevel"/>
    <w:tmpl w:val="43C2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715B2"/>
    <w:multiLevelType w:val="hybridMultilevel"/>
    <w:tmpl w:val="FFFFFFFF"/>
    <w:lvl w:ilvl="0" w:tplc="105615E2">
      <w:start w:val="1"/>
      <w:numFmt w:val="bullet"/>
      <w:lvlText w:val=""/>
      <w:lvlJc w:val="left"/>
      <w:pPr>
        <w:ind w:left="720" w:hanging="360"/>
      </w:pPr>
      <w:rPr>
        <w:rFonts w:ascii="Symbol" w:hAnsi="Symbol" w:hint="default"/>
      </w:rPr>
    </w:lvl>
    <w:lvl w:ilvl="1" w:tplc="03948A3E">
      <w:start w:val="1"/>
      <w:numFmt w:val="bullet"/>
      <w:lvlText w:val="o"/>
      <w:lvlJc w:val="left"/>
      <w:pPr>
        <w:ind w:left="1440" w:hanging="360"/>
      </w:pPr>
      <w:rPr>
        <w:rFonts w:ascii="Courier New" w:hAnsi="Courier New" w:hint="default"/>
      </w:rPr>
    </w:lvl>
    <w:lvl w:ilvl="2" w:tplc="EC088146">
      <w:start w:val="1"/>
      <w:numFmt w:val="bullet"/>
      <w:lvlText w:val=""/>
      <w:lvlJc w:val="left"/>
      <w:pPr>
        <w:ind w:left="2160" w:hanging="360"/>
      </w:pPr>
      <w:rPr>
        <w:rFonts w:ascii="Wingdings" w:hAnsi="Wingdings" w:hint="default"/>
      </w:rPr>
    </w:lvl>
    <w:lvl w:ilvl="3" w:tplc="CDE8EE4E">
      <w:start w:val="1"/>
      <w:numFmt w:val="bullet"/>
      <w:lvlText w:val=""/>
      <w:lvlJc w:val="left"/>
      <w:pPr>
        <w:ind w:left="2880" w:hanging="360"/>
      </w:pPr>
      <w:rPr>
        <w:rFonts w:ascii="Symbol" w:hAnsi="Symbol" w:hint="default"/>
      </w:rPr>
    </w:lvl>
    <w:lvl w:ilvl="4" w:tplc="F05EF6F8">
      <w:start w:val="1"/>
      <w:numFmt w:val="bullet"/>
      <w:lvlText w:val="o"/>
      <w:lvlJc w:val="left"/>
      <w:pPr>
        <w:ind w:left="3600" w:hanging="360"/>
      </w:pPr>
      <w:rPr>
        <w:rFonts w:ascii="Courier New" w:hAnsi="Courier New" w:hint="default"/>
      </w:rPr>
    </w:lvl>
    <w:lvl w:ilvl="5" w:tplc="2826C016">
      <w:start w:val="1"/>
      <w:numFmt w:val="bullet"/>
      <w:lvlText w:val=""/>
      <w:lvlJc w:val="left"/>
      <w:pPr>
        <w:ind w:left="4320" w:hanging="360"/>
      </w:pPr>
      <w:rPr>
        <w:rFonts w:ascii="Wingdings" w:hAnsi="Wingdings" w:hint="default"/>
      </w:rPr>
    </w:lvl>
    <w:lvl w:ilvl="6" w:tplc="97508584">
      <w:start w:val="1"/>
      <w:numFmt w:val="bullet"/>
      <w:lvlText w:val=""/>
      <w:lvlJc w:val="left"/>
      <w:pPr>
        <w:ind w:left="5040" w:hanging="360"/>
      </w:pPr>
      <w:rPr>
        <w:rFonts w:ascii="Symbol" w:hAnsi="Symbol" w:hint="default"/>
      </w:rPr>
    </w:lvl>
    <w:lvl w:ilvl="7" w:tplc="A6F802F2">
      <w:start w:val="1"/>
      <w:numFmt w:val="bullet"/>
      <w:lvlText w:val="o"/>
      <w:lvlJc w:val="left"/>
      <w:pPr>
        <w:ind w:left="5760" w:hanging="360"/>
      </w:pPr>
      <w:rPr>
        <w:rFonts w:ascii="Courier New" w:hAnsi="Courier New" w:hint="default"/>
      </w:rPr>
    </w:lvl>
    <w:lvl w:ilvl="8" w:tplc="43D24B34">
      <w:start w:val="1"/>
      <w:numFmt w:val="bullet"/>
      <w:lvlText w:val=""/>
      <w:lvlJc w:val="left"/>
      <w:pPr>
        <w:ind w:left="6480" w:hanging="360"/>
      </w:pPr>
      <w:rPr>
        <w:rFonts w:ascii="Wingdings" w:hAnsi="Wingdings" w:hint="default"/>
      </w:rPr>
    </w:lvl>
  </w:abstractNum>
  <w:abstractNum w:abstractNumId="11" w15:restartNumberingAfterBreak="0">
    <w:nsid w:val="1E5C7207"/>
    <w:multiLevelType w:val="hybridMultilevel"/>
    <w:tmpl w:val="8D9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45A6C"/>
    <w:multiLevelType w:val="hybridMultilevel"/>
    <w:tmpl w:val="6A8E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560503"/>
    <w:multiLevelType w:val="hybridMultilevel"/>
    <w:tmpl w:val="CF28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D5BDE"/>
    <w:multiLevelType w:val="hybridMultilevel"/>
    <w:tmpl w:val="4F9A4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D2666"/>
    <w:multiLevelType w:val="hybridMultilevel"/>
    <w:tmpl w:val="FFFFFFFF"/>
    <w:lvl w:ilvl="0" w:tplc="B7EC8FD8">
      <w:start w:val="1"/>
      <w:numFmt w:val="bullet"/>
      <w:lvlText w:val=""/>
      <w:lvlJc w:val="left"/>
      <w:pPr>
        <w:ind w:left="720" w:hanging="360"/>
      </w:pPr>
      <w:rPr>
        <w:rFonts w:ascii="Symbol" w:hAnsi="Symbol" w:hint="default"/>
      </w:rPr>
    </w:lvl>
    <w:lvl w:ilvl="1" w:tplc="C4A0BAD0">
      <w:start w:val="1"/>
      <w:numFmt w:val="bullet"/>
      <w:lvlText w:val="o"/>
      <w:lvlJc w:val="left"/>
      <w:pPr>
        <w:ind w:left="1440" w:hanging="360"/>
      </w:pPr>
      <w:rPr>
        <w:rFonts w:ascii="Courier New" w:hAnsi="Courier New" w:hint="default"/>
      </w:rPr>
    </w:lvl>
    <w:lvl w:ilvl="2" w:tplc="37AE8790">
      <w:start w:val="1"/>
      <w:numFmt w:val="bullet"/>
      <w:lvlText w:val=""/>
      <w:lvlJc w:val="left"/>
      <w:pPr>
        <w:ind w:left="2160" w:hanging="360"/>
      </w:pPr>
      <w:rPr>
        <w:rFonts w:ascii="Wingdings" w:hAnsi="Wingdings" w:hint="default"/>
      </w:rPr>
    </w:lvl>
    <w:lvl w:ilvl="3" w:tplc="32380A10">
      <w:start w:val="1"/>
      <w:numFmt w:val="bullet"/>
      <w:lvlText w:val=""/>
      <w:lvlJc w:val="left"/>
      <w:pPr>
        <w:ind w:left="2880" w:hanging="360"/>
      </w:pPr>
      <w:rPr>
        <w:rFonts w:ascii="Symbol" w:hAnsi="Symbol" w:hint="default"/>
      </w:rPr>
    </w:lvl>
    <w:lvl w:ilvl="4" w:tplc="56B863D0">
      <w:start w:val="1"/>
      <w:numFmt w:val="bullet"/>
      <w:lvlText w:val="o"/>
      <w:lvlJc w:val="left"/>
      <w:pPr>
        <w:ind w:left="3600" w:hanging="360"/>
      </w:pPr>
      <w:rPr>
        <w:rFonts w:ascii="Courier New" w:hAnsi="Courier New" w:hint="default"/>
      </w:rPr>
    </w:lvl>
    <w:lvl w:ilvl="5" w:tplc="87BCB242">
      <w:start w:val="1"/>
      <w:numFmt w:val="bullet"/>
      <w:lvlText w:val=""/>
      <w:lvlJc w:val="left"/>
      <w:pPr>
        <w:ind w:left="4320" w:hanging="360"/>
      </w:pPr>
      <w:rPr>
        <w:rFonts w:ascii="Wingdings" w:hAnsi="Wingdings" w:hint="default"/>
      </w:rPr>
    </w:lvl>
    <w:lvl w:ilvl="6" w:tplc="02C21810">
      <w:start w:val="1"/>
      <w:numFmt w:val="bullet"/>
      <w:lvlText w:val=""/>
      <w:lvlJc w:val="left"/>
      <w:pPr>
        <w:ind w:left="5040" w:hanging="360"/>
      </w:pPr>
      <w:rPr>
        <w:rFonts w:ascii="Symbol" w:hAnsi="Symbol" w:hint="default"/>
      </w:rPr>
    </w:lvl>
    <w:lvl w:ilvl="7" w:tplc="A7D88B56">
      <w:start w:val="1"/>
      <w:numFmt w:val="bullet"/>
      <w:lvlText w:val="o"/>
      <w:lvlJc w:val="left"/>
      <w:pPr>
        <w:ind w:left="5760" w:hanging="360"/>
      </w:pPr>
      <w:rPr>
        <w:rFonts w:ascii="Courier New" w:hAnsi="Courier New" w:hint="default"/>
      </w:rPr>
    </w:lvl>
    <w:lvl w:ilvl="8" w:tplc="E20A2170">
      <w:start w:val="1"/>
      <w:numFmt w:val="bullet"/>
      <w:lvlText w:val=""/>
      <w:lvlJc w:val="left"/>
      <w:pPr>
        <w:ind w:left="6480" w:hanging="360"/>
      </w:pPr>
      <w:rPr>
        <w:rFonts w:ascii="Wingdings" w:hAnsi="Wingdings" w:hint="default"/>
      </w:rPr>
    </w:lvl>
  </w:abstractNum>
  <w:abstractNum w:abstractNumId="1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7" w15:restartNumberingAfterBreak="0">
    <w:nsid w:val="2E9B2156"/>
    <w:multiLevelType w:val="singleLevel"/>
    <w:tmpl w:val="3F5057F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2F4655F0"/>
    <w:multiLevelType w:val="hybridMultilevel"/>
    <w:tmpl w:val="663CA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C319C7"/>
    <w:multiLevelType w:val="hybridMultilevel"/>
    <w:tmpl w:val="27C88C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1814C93"/>
    <w:multiLevelType w:val="hybridMultilevel"/>
    <w:tmpl w:val="FFFFFFFF"/>
    <w:lvl w:ilvl="0" w:tplc="E42C0D74">
      <w:start w:val="1"/>
      <w:numFmt w:val="bullet"/>
      <w:lvlText w:val=""/>
      <w:lvlJc w:val="left"/>
      <w:pPr>
        <w:ind w:left="720" w:hanging="360"/>
      </w:pPr>
      <w:rPr>
        <w:rFonts w:ascii="Symbol" w:hAnsi="Symbol" w:hint="default"/>
      </w:rPr>
    </w:lvl>
    <w:lvl w:ilvl="1" w:tplc="8A1E3EEE">
      <w:start w:val="1"/>
      <w:numFmt w:val="bullet"/>
      <w:lvlText w:val="o"/>
      <w:lvlJc w:val="left"/>
      <w:pPr>
        <w:ind w:left="1440" w:hanging="360"/>
      </w:pPr>
      <w:rPr>
        <w:rFonts w:ascii="Courier New" w:hAnsi="Courier New" w:hint="default"/>
      </w:rPr>
    </w:lvl>
    <w:lvl w:ilvl="2" w:tplc="8F24D3EE">
      <w:start w:val="1"/>
      <w:numFmt w:val="bullet"/>
      <w:lvlText w:val=""/>
      <w:lvlJc w:val="left"/>
      <w:pPr>
        <w:ind w:left="2160" w:hanging="360"/>
      </w:pPr>
      <w:rPr>
        <w:rFonts w:ascii="Wingdings" w:hAnsi="Wingdings" w:hint="default"/>
      </w:rPr>
    </w:lvl>
    <w:lvl w:ilvl="3" w:tplc="F8A4422E">
      <w:start w:val="1"/>
      <w:numFmt w:val="bullet"/>
      <w:lvlText w:val=""/>
      <w:lvlJc w:val="left"/>
      <w:pPr>
        <w:ind w:left="2880" w:hanging="360"/>
      </w:pPr>
      <w:rPr>
        <w:rFonts w:ascii="Symbol" w:hAnsi="Symbol" w:hint="default"/>
      </w:rPr>
    </w:lvl>
    <w:lvl w:ilvl="4" w:tplc="3268489E">
      <w:start w:val="1"/>
      <w:numFmt w:val="bullet"/>
      <w:lvlText w:val="o"/>
      <w:lvlJc w:val="left"/>
      <w:pPr>
        <w:ind w:left="3600" w:hanging="360"/>
      </w:pPr>
      <w:rPr>
        <w:rFonts w:ascii="Courier New" w:hAnsi="Courier New" w:hint="default"/>
      </w:rPr>
    </w:lvl>
    <w:lvl w:ilvl="5" w:tplc="66227BCC">
      <w:start w:val="1"/>
      <w:numFmt w:val="bullet"/>
      <w:lvlText w:val=""/>
      <w:lvlJc w:val="left"/>
      <w:pPr>
        <w:ind w:left="4320" w:hanging="360"/>
      </w:pPr>
      <w:rPr>
        <w:rFonts w:ascii="Wingdings" w:hAnsi="Wingdings" w:hint="default"/>
      </w:rPr>
    </w:lvl>
    <w:lvl w:ilvl="6" w:tplc="BB2E6AE6">
      <w:start w:val="1"/>
      <w:numFmt w:val="bullet"/>
      <w:lvlText w:val=""/>
      <w:lvlJc w:val="left"/>
      <w:pPr>
        <w:ind w:left="5040" w:hanging="360"/>
      </w:pPr>
      <w:rPr>
        <w:rFonts w:ascii="Symbol" w:hAnsi="Symbol" w:hint="default"/>
      </w:rPr>
    </w:lvl>
    <w:lvl w:ilvl="7" w:tplc="910C0418">
      <w:start w:val="1"/>
      <w:numFmt w:val="bullet"/>
      <w:lvlText w:val="o"/>
      <w:lvlJc w:val="left"/>
      <w:pPr>
        <w:ind w:left="5760" w:hanging="360"/>
      </w:pPr>
      <w:rPr>
        <w:rFonts w:ascii="Courier New" w:hAnsi="Courier New" w:hint="default"/>
      </w:rPr>
    </w:lvl>
    <w:lvl w:ilvl="8" w:tplc="52447862">
      <w:start w:val="1"/>
      <w:numFmt w:val="bullet"/>
      <w:lvlText w:val=""/>
      <w:lvlJc w:val="left"/>
      <w:pPr>
        <w:ind w:left="6480" w:hanging="360"/>
      </w:pPr>
      <w:rPr>
        <w:rFonts w:ascii="Wingdings" w:hAnsi="Wingdings" w:hint="default"/>
      </w:rPr>
    </w:lvl>
  </w:abstractNum>
  <w:abstractNum w:abstractNumId="22" w15:restartNumberingAfterBreak="0">
    <w:nsid w:val="319F4E8B"/>
    <w:multiLevelType w:val="hybridMultilevel"/>
    <w:tmpl w:val="CE1E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481D98"/>
    <w:multiLevelType w:val="hybridMultilevel"/>
    <w:tmpl w:val="FFFFFFFF"/>
    <w:lvl w:ilvl="0" w:tplc="339078A6">
      <w:start w:val="1"/>
      <w:numFmt w:val="bullet"/>
      <w:lvlText w:val=""/>
      <w:lvlJc w:val="left"/>
      <w:pPr>
        <w:ind w:left="720" w:hanging="360"/>
      </w:pPr>
      <w:rPr>
        <w:rFonts w:ascii="Symbol" w:hAnsi="Symbol" w:hint="default"/>
      </w:rPr>
    </w:lvl>
    <w:lvl w:ilvl="1" w:tplc="E27E7E06">
      <w:start w:val="1"/>
      <w:numFmt w:val="bullet"/>
      <w:lvlText w:val="o"/>
      <w:lvlJc w:val="left"/>
      <w:pPr>
        <w:ind w:left="1440" w:hanging="360"/>
      </w:pPr>
      <w:rPr>
        <w:rFonts w:ascii="Courier New" w:hAnsi="Courier New" w:hint="default"/>
      </w:rPr>
    </w:lvl>
    <w:lvl w:ilvl="2" w:tplc="20BC105A">
      <w:start w:val="1"/>
      <w:numFmt w:val="bullet"/>
      <w:lvlText w:val=""/>
      <w:lvlJc w:val="left"/>
      <w:pPr>
        <w:ind w:left="2160" w:hanging="360"/>
      </w:pPr>
      <w:rPr>
        <w:rFonts w:ascii="Wingdings" w:hAnsi="Wingdings" w:hint="default"/>
      </w:rPr>
    </w:lvl>
    <w:lvl w:ilvl="3" w:tplc="A4BA242E">
      <w:start w:val="1"/>
      <w:numFmt w:val="bullet"/>
      <w:lvlText w:val=""/>
      <w:lvlJc w:val="left"/>
      <w:pPr>
        <w:ind w:left="2880" w:hanging="360"/>
      </w:pPr>
      <w:rPr>
        <w:rFonts w:ascii="Symbol" w:hAnsi="Symbol" w:hint="default"/>
      </w:rPr>
    </w:lvl>
    <w:lvl w:ilvl="4" w:tplc="4A60B736">
      <w:start w:val="1"/>
      <w:numFmt w:val="bullet"/>
      <w:lvlText w:val="o"/>
      <w:lvlJc w:val="left"/>
      <w:pPr>
        <w:ind w:left="3600" w:hanging="360"/>
      </w:pPr>
      <w:rPr>
        <w:rFonts w:ascii="Courier New" w:hAnsi="Courier New" w:hint="default"/>
      </w:rPr>
    </w:lvl>
    <w:lvl w:ilvl="5" w:tplc="247E788C">
      <w:start w:val="1"/>
      <w:numFmt w:val="bullet"/>
      <w:lvlText w:val=""/>
      <w:lvlJc w:val="left"/>
      <w:pPr>
        <w:ind w:left="4320" w:hanging="360"/>
      </w:pPr>
      <w:rPr>
        <w:rFonts w:ascii="Wingdings" w:hAnsi="Wingdings" w:hint="default"/>
      </w:rPr>
    </w:lvl>
    <w:lvl w:ilvl="6" w:tplc="F89AC1CA">
      <w:start w:val="1"/>
      <w:numFmt w:val="bullet"/>
      <w:lvlText w:val=""/>
      <w:lvlJc w:val="left"/>
      <w:pPr>
        <w:ind w:left="5040" w:hanging="360"/>
      </w:pPr>
      <w:rPr>
        <w:rFonts w:ascii="Symbol" w:hAnsi="Symbol" w:hint="default"/>
      </w:rPr>
    </w:lvl>
    <w:lvl w:ilvl="7" w:tplc="EC12F406">
      <w:start w:val="1"/>
      <w:numFmt w:val="bullet"/>
      <w:lvlText w:val="o"/>
      <w:lvlJc w:val="left"/>
      <w:pPr>
        <w:ind w:left="5760" w:hanging="360"/>
      </w:pPr>
      <w:rPr>
        <w:rFonts w:ascii="Courier New" w:hAnsi="Courier New" w:hint="default"/>
      </w:rPr>
    </w:lvl>
    <w:lvl w:ilvl="8" w:tplc="5248F97C">
      <w:start w:val="1"/>
      <w:numFmt w:val="bullet"/>
      <w:lvlText w:val=""/>
      <w:lvlJc w:val="left"/>
      <w:pPr>
        <w:ind w:left="6480" w:hanging="360"/>
      </w:pPr>
      <w:rPr>
        <w:rFonts w:ascii="Wingdings" w:hAnsi="Wingdings" w:hint="default"/>
      </w:rPr>
    </w:lvl>
  </w:abstractNum>
  <w:abstractNum w:abstractNumId="24" w15:restartNumberingAfterBreak="0">
    <w:nsid w:val="35425CDD"/>
    <w:multiLevelType w:val="hybridMultilevel"/>
    <w:tmpl w:val="CA5E360A"/>
    <w:lvl w:ilvl="0" w:tplc="0C09000F">
      <w:start w:val="1"/>
      <w:numFmt w:val="decimal"/>
      <w:lvlText w:val="%1."/>
      <w:lvlJc w:val="left"/>
      <w:pPr>
        <w:ind w:left="6456" w:hanging="360"/>
      </w:pPr>
      <w:rPr>
        <w:rFonts w:hint="default"/>
      </w:rPr>
    </w:lvl>
    <w:lvl w:ilvl="1" w:tplc="0C090001">
      <w:start w:val="1"/>
      <w:numFmt w:val="bullet"/>
      <w:lvlText w:val=""/>
      <w:lvlJc w:val="left"/>
      <w:pPr>
        <w:ind w:left="1440" w:hanging="360"/>
      </w:pPr>
      <w:rPr>
        <w:rFonts w:ascii="Symbol" w:hAnsi="Symbol" w:hint="default"/>
      </w:rPr>
    </w:lvl>
    <w:lvl w:ilvl="2" w:tplc="FFFFFFFF">
      <w:start w:val="4"/>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B766E8"/>
    <w:multiLevelType w:val="hybridMultilevel"/>
    <w:tmpl w:val="4346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7E042E7"/>
    <w:multiLevelType w:val="hybridMultilevel"/>
    <w:tmpl w:val="B782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8751F2"/>
    <w:multiLevelType w:val="hybridMultilevel"/>
    <w:tmpl w:val="CA604A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38A12BB4"/>
    <w:multiLevelType w:val="hybridMultilevel"/>
    <w:tmpl w:val="8770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9B5A41"/>
    <w:multiLevelType w:val="hybridMultilevel"/>
    <w:tmpl w:val="887EE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D8B3D9A"/>
    <w:multiLevelType w:val="hybridMultilevel"/>
    <w:tmpl w:val="0D560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837903"/>
    <w:multiLevelType w:val="hybridMultilevel"/>
    <w:tmpl w:val="7B4A615A"/>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240EC0"/>
    <w:multiLevelType w:val="hybridMultilevel"/>
    <w:tmpl w:val="030EA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AF3A9A"/>
    <w:multiLevelType w:val="hybridMultilevel"/>
    <w:tmpl w:val="1BC6C5F6"/>
    <w:lvl w:ilvl="0" w:tplc="4F000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0A65EA"/>
    <w:multiLevelType w:val="hybridMultilevel"/>
    <w:tmpl w:val="FFFFFFFF"/>
    <w:lvl w:ilvl="0" w:tplc="04BA9844">
      <w:start w:val="1"/>
      <w:numFmt w:val="bullet"/>
      <w:lvlText w:val=""/>
      <w:lvlJc w:val="left"/>
      <w:pPr>
        <w:ind w:left="720" w:hanging="360"/>
      </w:pPr>
      <w:rPr>
        <w:rFonts w:ascii="Symbol" w:hAnsi="Symbol" w:hint="default"/>
      </w:rPr>
    </w:lvl>
    <w:lvl w:ilvl="1" w:tplc="0A88622E">
      <w:start w:val="1"/>
      <w:numFmt w:val="bullet"/>
      <w:lvlText w:val="o"/>
      <w:lvlJc w:val="left"/>
      <w:pPr>
        <w:ind w:left="1440" w:hanging="360"/>
      </w:pPr>
      <w:rPr>
        <w:rFonts w:ascii="Courier New" w:hAnsi="Courier New" w:hint="default"/>
      </w:rPr>
    </w:lvl>
    <w:lvl w:ilvl="2" w:tplc="0E0EADF6">
      <w:start w:val="1"/>
      <w:numFmt w:val="bullet"/>
      <w:lvlText w:val=""/>
      <w:lvlJc w:val="left"/>
      <w:pPr>
        <w:ind w:left="2160" w:hanging="360"/>
      </w:pPr>
      <w:rPr>
        <w:rFonts w:ascii="Wingdings" w:hAnsi="Wingdings" w:hint="default"/>
      </w:rPr>
    </w:lvl>
    <w:lvl w:ilvl="3" w:tplc="33E8CCE6">
      <w:start w:val="1"/>
      <w:numFmt w:val="bullet"/>
      <w:lvlText w:val=""/>
      <w:lvlJc w:val="left"/>
      <w:pPr>
        <w:ind w:left="2880" w:hanging="360"/>
      </w:pPr>
      <w:rPr>
        <w:rFonts w:ascii="Symbol" w:hAnsi="Symbol" w:hint="default"/>
      </w:rPr>
    </w:lvl>
    <w:lvl w:ilvl="4" w:tplc="22DEFBE4">
      <w:start w:val="1"/>
      <w:numFmt w:val="bullet"/>
      <w:lvlText w:val="o"/>
      <w:lvlJc w:val="left"/>
      <w:pPr>
        <w:ind w:left="3600" w:hanging="360"/>
      </w:pPr>
      <w:rPr>
        <w:rFonts w:ascii="Courier New" w:hAnsi="Courier New" w:hint="default"/>
      </w:rPr>
    </w:lvl>
    <w:lvl w:ilvl="5" w:tplc="E3AE3C62">
      <w:start w:val="1"/>
      <w:numFmt w:val="bullet"/>
      <w:lvlText w:val=""/>
      <w:lvlJc w:val="left"/>
      <w:pPr>
        <w:ind w:left="4320" w:hanging="360"/>
      </w:pPr>
      <w:rPr>
        <w:rFonts w:ascii="Wingdings" w:hAnsi="Wingdings" w:hint="default"/>
      </w:rPr>
    </w:lvl>
    <w:lvl w:ilvl="6" w:tplc="D090B1A8">
      <w:start w:val="1"/>
      <w:numFmt w:val="bullet"/>
      <w:lvlText w:val=""/>
      <w:lvlJc w:val="left"/>
      <w:pPr>
        <w:ind w:left="5040" w:hanging="360"/>
      </w:pPr>
      <w:rPr>
        <w:rFonts w:ascii="Symbol" w:hAnsi="Symbol" w:hint="default"/>
      </w:rPr>
    </w:lvl>
    <w:lvl w:ilvl="7" w:tplc="0DA244E6">
      <w:start w:val="1"/>
      <w:numFmt w:val="bullet"/>
      <w:lvlText w:val="o"/>
      <w:lvlJc w:val="left"/>
      <w:pPr>
        <w:ind w:left="5760" w:hanging="360"/>
      </w:pPr>
      <w:rPr>
        <w:rFonts w:ascii="Courier New" w:hAnsi="Courier New" w:hint="default"/>
      </w:rPr>
    </w:lvl>
    <w:lvl w:ilvl="8" w:tplc="8CF8AA3C">
      <w:start w:val="1"/>
      <w:numFmt w:val="bullet"/>
      <w:lvlText w:val=""/>
      <w:lvlJc w:val="left"/>
      <w:pPr>
        <w:ind w:left="6480" w:hanging="360"/>
      </w:pPr>
      <w:rPr>
        <w:rFonts w:ascii="Wingdings" w:hAnsi="Wingdings" w:hint="default"/>
      </w:rPr>
    </w:lvl>
  </w:abstractNum>
  <w:abstractNum w:abstractNumId="3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A4A4D25"/>
    <w:multiLevelType w:val="hybridMultilevel"/>
    <w:tmpl w:val="8CDC3E7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9" w15:restartNumberingAfterBreak="0">
    <w:nsid w:val="4B827D37"/>
    <w:multiLevelType w:val="hybridMultilevel"/>
    <w:tmpl w:val="F5DC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D20F05"/>
    <w:multiLevelType w:val="hybridMultilevel"/>
    <w:tmpl w:val="2B9440F2"/>
    <w:lvl w:ilvl="0" w:tplc="E60C15D4">
      <w:start w:val="1"/>
      <w:numFmt w:val="bullet"/>
      <w:pStyle w:val="Bullet1c"/>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2BB2705"/>
    <w:multiLevelType w:val="hybridMultilevel"/>
    <w:tmpl w:val="2DB4CDA8"/>
    <w:lvl w:ilvl="0" w:tplc="49C8DCC6">
      <w:start w:val="1"/>
      <w:numFmt w:val="bullet"/>
      <w:lvlText w:val=""/>
      <w:lvlJc w:val="left"/>
      <w:pPr>
        <w:ind w:left="720" w:hanging="360"/>
      </w:pPr>
      <w:rPr>
        <w:rFonts w:ascii="Symbol" w:hAnsi="Symbol" w:hint="default"/>
      </w:rPr>
    </w:lvl>
    <w:lvl w:ilvl="1" w:tplc="221AA532">
      <w:start w:val="1"/>
      <w:numFmt w:val="bullet"/>
      <w:lvlText w:val="o"/>
      <w:lvlJc w:val="left"/>
      <w:pPr>
        <w:ind w:left="1440" w:hanging="360"/>
      </w:pPr>
      <w:rPr>
        <w:rFonts w:ascii="Courier New" w:hAnsi="Courier New" w:hint="default"/>
      </w:rPr>
    </w:lvl>
    <w:lvl w:ilvl="2" w:tplc="2070EB3C">
      <w:start w:val="1"/>
      <w:numFmt w:val="bullet"/>
      <w:lvlText w:val=""/>
      <w:lvlJc w:val="left"/>
      <w:pPr>
        <w:ind w:left="2160" w:hanging="360"/>
      </w:pPr>
      <w:rPr>
        <w:rFonts w:ascii="Wingdings" w:hAnsi="Wingdings" w:hint="default"/>
      </w:rPr>
    </w:lvl>
    <w:lvl w:ilvl="3" w:tplc="0420BEB8">
      <w:start w:val="1"/>
      <w:numFmt w:val="bullet"/>
      <w:lvlText w:val=""/>
      <w:lvlJc w:val="left"/>
      <w:pPr>
        <w:ind w:left="2880" w:hanging="360"/>
      </w:pPr>
      <w:rPr>
        <w:rFonts w:ascii="Symbol" w:hAnsi="Symbol" w:hint="default"/>
      </w:rPr>
    </w:lvl>
    <w:lvl w:ilvl="4" w:tplc="41B05DCC">
      <w:start w:val="1"/>
      <w:numFmt w:val="bullet"/>
      <w:lvlText w:val="o"/>
      <w:lvlJc w:val="left"/>
      <w:pPr>
        <w:ind w:left="3600" w:hanging="360"/>
      </w:pPr>
      <w:rPr>
        <w:rFonts w:ascii="Courier New" w:hAnsi="Courier New" w:hint="default"/>
      </w:rPr>
    </w:lvl>
    <w:lvl w:ilvl="5" w:tplc="EB2A3420">
      <w:start w:val="1"/>
      <w:numFmt w:val="bullet"/>
      <w:lvlText w:val=""/>
      <w:lvlJc w:val="left"/>
      <w:pPr>
        <w:ind w:left="4320" w:hanging="360"/>
      </w:pPr>
      <w:rPr>
        <w:rFonts w:ascii="Wingdings" w:hAnsi="Wingdings" w:hint="default"/>
      </w:rPr>
    </w:lvl>
    <w:lvl w:ilvl="6" w:tplc="152A72DE">
      <w:start w:val="1"/>
      <w:numFmt w:val="bullet"/>
      <w:lvlText w:val=""/>
      <w:lvlJc w:val="left"/>
      <w:pPr>
        <w:ind w:left="5040" w:hanging="360"/>
      </w:pPr>
      <w:rPr>
        <w:rFonts w:ascii="Symbol" w:hAnsi="Symbol" w:hint="default"/>
      </w:rPr>
    </w:lvl>
    <w:lvl w:ilvl="7" w:tplc="35EE4A36">
      <w:start w:val="1"/>
      <w:numFmt w:val="bullet"/>
      <w:lvlText w:val="o"/>
      <w:lvlJc w:val="left"/>
      <w:pPr>
        <w:ind w:left="5760" w:hanging="360"/>
      </w:pPr>
      <w:rPr>
        <w:rFonts w:ascii="Courier New" w:hAnsi="Courier New" w:hint="default"/>
      </w:rPr>
    </w:lvl>
    <w:lvl w:ilvl="8" w:tplc="867CD3D8">
      <w:start w:val="1"/>
      <w:numFmt w:val="bullet"/>
      <w:lvlText w:val=""/>
      <w:lvlJc w:val="left"/>
      <w:pPr>
        <w:ind w:left="6480" w:hanging="360"/>
      </w:pPr>
      <w:rPr>
        <w:rFonts w:ascii="Wingdings" w:hAnsi="Wingdings" w:hint="default"/>
      </w:rPr>
    </w:lvl>
  </w:abstractNum>
  <w:abstractNum w:abstractNumId="42" w15:restartNumberingAfterBreak="0">
    <w:nsid w:val="532279E9"/>
    <w:multiLevelType w:val="hybridMultilevel"/>
    <w:tmpl w:val="67C4283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4" w15:restartNumberingAfterBreak="0">
    <w:nsid w:val="5B5923C6"/>
    <w:multiLevelType w:val="hybridMultilevel"/>
    <w:tmpl w:val="FFFFFFFF"/>
    <w:lvl w:ilvl="0" w:tplc="21506A16">
      <w:start w:val="1"/>
      <w:numFmt w:val="bullet"/>
      <w:lvlText w:val=""/>
      <w:lvlJc w:val="left"/>
      <w:pPr>
        <w:ind w:left="720" w:hanging="360"/>
      </w:pPr>
      <w:rPr>
        <w:rFonts w:ascii="Symbol" w:hAnsi="Symbol" w:hint="default"/>
      </w:rPr>
    </w:lvl>
    <w:lvl w:ilvl="1" w:tplc="26B674C8">
      <w:start w:val="1"/>
      <w:numFmt w:val="bullet"/>
      <w:lvlText w:val="o"/>
      <w:lvlJc w:val="left"/>
      <w:pPr>
        <w:ind w:left="1440" w:hanging="360"/>
      </w:pPr>
      <w:rPr>
        <w:rFonts w:ascii="Courier New" w:hAnsi="Courier New" w:hint="default"/>
      </w:rPr>
    </w:lvl>
    <w:lvl w:ilvl="2" w:tplc="843ED698">
      <w:start w:val="1"/>
      <w:numFmt w:val="bullet"/>
      <w:lvlText w:val=""/>
      <w:lvlJc w:val="left"/>
      <w:pPr>
        <w:ind w:left="2160" w:hanging="360"/>
      </w:pPr>
      <w:rPr>
        <w:rFonts w:ascii="Wingdings" w:hAnsi="Wingdings" w:hint="default"/>
      </w:rPr>
    </w:lvl>
    <w:lvl w:ilvl="3" w:tplc="34807AE4">
      <w:start w:val="1"/>
      <w:numFmt w:val="bullet"/>
      <w:lvlText w:val=""/>
      <w:lvlJc w:val="left"/>
      <w:pPr>
        <w:ind w:left="2880" w:hanging="360"/>
      </w:pPr>
      <w:rPr>
        <w:rFonts w:ascii="Symbol" w:hAnsi="Symbol" w:hint="default"/>
      </w:rPr>
    </w:lvl>
    <w:lvl w:ilvl="4" w:tplc="FB488F68">
      <w:start w:val="1"/>
      <w:numFmt w:val="bullet"/>
      <w:lvlText w:val="o"/>
      <w:lvlJc w:val="left"/>
      <w:pPr>
        <w:ind w:left="3600" w:hanging="360"/>
      </w:pPr>
      <w:rPr>
        <w:rFonts w:ascii="Courier New" w:hAnsi="Courier New" w:hint="default"/>
      </w:rPr>
    </w:lvl>
    <w:lvl w:ilvl="5" w:tplc="15BEA358">
      <w:start w:val="1"/>
      <w:numFmt w:val="bullet"/>
      <w:lvlText w:val=""/>
      <w:lvlJc w:val="left"/>
      <w:pPr>
        <w:ind w:left="4320" w:hanging="360"/>
      </w:pPr>
      <w:rPr>
        <w:rFonts w:ascii="Wingdings" w:hAnsi="Wingdings" w:hint="default"/>
      </w:rPr>
    </w:lvl>
    <w:lvl w:ilvl="6" w:tplc="E02ED506">
      <w:start w:val="1"/>
      <w:numFmt w:val="bullet"/>
      <w:lvlText w:val=""/>
      <w:lvlJc w:val="left"/>
      <w:pPr>
        <w:ind w:left="5040" w:hanging="360"/>
      </w:pPr>
      <w:rPr>
        <w:rFonts w:ascii="Symbol" w:hAnsi="Symbol" w:hint="default"/>
      </w:rPr>
    </w:lvl>
    <w:lvl w:ilvl="7" w:tplc="061E1070">
      <w:start w:val="1"/>
      <w:numFmt w:val="bullet"/>
      <w:lvlText w:val="o"/>
      <w:lvlJc w:val="left"/>
      <w:pPr>
        <w:ind w:left="5760" w:hanging="360"/>
      </w:pPr>
      <w:rPr>
        <w:rFonts w:ascii="Courier New" w:hAnsi="Courier New" w:hint="default"/>
      </w:rPr>
    </w:lvl>
    <w:lvl w:ilvl="8" w:tplc="0AD61012">
      <w:start w:val="1"/>
      <w:numFmt w:val="bullet"/>
      <w:lvlText w:val=""/>
      <w:lvlJc w:val="left"/>
      <w:pPr>
        <w:ind w:left="6480" w:hanging="360"/>
      </w:pPr>
      <w:rPr>
        <w:rFonts w:ascii="Wingdings" w:hAnsi="Wingdings" w:hint="default"/>
      </w:rPr>
    </w:lvl>
  </w:abstractNum>
  <w:abstractNum w:abstractNumId="45" w15:restartNumberingAfterBreak="0">
    <w:nsid w:val="5DC9341F"/>
    <w:multiLevelType w:val="hybridMultilevel"/>
    <w:tmpl w:val="6B0C25C2"/>
    <w:lvl w:ilvl="0" w:tplc="FA181E48">
      <w:start w:val="1"/>
      <w:numFmt w:val="bullet"/>
      <w:lvlText w:val=""/>
      <w:lvlJc w:val="left"/>
      <w:pPr>
        <w:ind w:left="720" w:hanging="360"/>
      </w:pPr>
      <w:rPr>
        <w:rFonts w:ascii="Symbol" w:hAnsi="Symbol" w:hint="default"/>
      </w:rPr>
    </w:lvl>
    <w:lvl w:ilvl="1" w:tplc="216C80E0">
      <w:start w:val="1"/>
      <w:numFmt w:val="bullet"/>
      <w:lvlText w:val="o"/>
      <w:lvlJc w:val="left"/>
      <w:pPr>
        <w:ind w:left="1440" w:hanging="360"/>
      </w:pPr>
      <w:rPr>
        <w:rFonts w:ascii="Courier New" w:hAnsi="Courier New" w:hint="default"/>
      </w:rPr>
    </w:lvl>
    <w:lvl w:ilvl="2" w:tplc="91607896">
      <w:start w:val="1"/>
      <w:numFmt w:val="bullet"/>
      <w:lvlText w:val=""/>
      <w:lvlJc w:val="left"/>
      <w:pPr>
        <w:ind w:left="2160" w:hanging="360"/>
      </w:pPr>
      <w:rPr>
        <w:rFonts w:ascii="Wingdings" w:hAnsi="Wingdings" w:hint="default"/>
      </w:rPr>
    </w:lvl>
    <w:lvl w:ilvl="3" w:tplc="97F64AE4">
      <w:start w:val="1"/>
      <w:numFmt w:val="bullet"/>
      <w:lvlText w:val=""/>
      <w:lvlJc w:val="left"/>
      <w:pPr>
        <w:ind w:left="2880" w:hanging="360"/>
      </w:pPr>
      <w:rPr>
        <w:rFonts w:ascii="Symbol" w:hAnsi="Symbol" w:hint="default"/>
      </w:rPr>
    </w:lvl>
    <w:lvl w:ilvl="4" w:tplc="749628B0">
      <w:start w:val="1"/>
      <w:numFmt w:val="bullet"/>
      <w:lvlText w:val="o"/>
      <w:lvlJc w:val="left"/>
      <w:pPr>
        <w:ind w:left="3600" w:hanging="360"/>
      </w:pPr>
      <w:rPr>
        <w:rFonts w:ascii="Courier New" w:hAnsi="Courier New" w:hint="default"/>
      </w:rPr>
    </w:lvl>
    <w:lvl w:ilvl="5" w:tplc="47D65A7E">
      <w:start w:val="1"/>
      <w:numFmt w:val="bullet"/>
      <w:lvlText w:val=""/>
      <w:lvlJc w:val="left"/>
      <w:pPr>
        <w:ind w:left="4320" w:hanging="360"/>
      </w:pPr>
      <w:rPr>
        <w:rFonts w:ascii="Wingdings" w:hAnsi="Wingdings" w:hint="default"/>
      </w:rPr>
    </w:lvl>
    <w:lvl w:ilvl="6" w:tplc="10EC8CFE">
      <w:start w:val="1"/>
      <w:numFmt w:val="bullet"/>
      <w:lvlText w:val=""/>
      <w:lvlJc w:val="left"/>
      <w:pPr>
        <w:ind w:left="5040" w:hanging="360"/>
      </w:pPr>
      <w:rPr>
        <w:rFonts w:ascii="Symbol" w:hAnsi="Symbol" w:hint="default"/>
      </w:rPr>
    </w:lvl>
    <w:lvl w:ilvl="7" w:tplc="8128764E">
      <w:start w:val="1"/>
      <w:numFmt w:val="bullet"/>
      <w:lvlText w:val="o"/>
      <w:lvlJc w:val="left"/>
      <w:pPr>
        <w:ind w:left="5760" w:hanging="360"/>
      </w:pPr>
      <w:rPr>
        <w:rFonts w:ascii="Courier New" w:hAnsi="Courier New" w:hint="default"/>
      </w:rPr>
    </w:lvl>
    <w:lvl w:ilvl="8" w:tplc="16C0305C">
      <w:start w:val="1"/>
      <w:numFmt w:val="bullet"/>
      <w:lvlText w:val=""/>
      <w:lvlJc w:val="left"/>
      <w:pPr>
        <w:ind w:left="6480" w:hanging="360"/>
      </w:pPr>
      <w:rPr>
        <w:rFonts w:ascii="Wingdings" w:hAnsi="Wingdings" w:hint="default"/>
      </w:rPr>
    </w:lvl>
  </w:abstractNum>
  <w:abstractNum w:abstractNumId="46" w15:restartNumberingAfterBreak="0">
    <w:nsid w:val="5EA22B29"/>
    <w:multiLevelType w:val="hybridMultilevel"/>
    <w:tmpl w:val="9592A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8" w15:restartNumberingAfterBreak="0">
    <w:nsid w:val="61B8095D"/>
    <w:multiLevelType w:val="hybridMultilevel"/>
    <w:tmpl w:val="CA8E36BC"/>
    <w:lvl w:ilvl="0" w:tplc="29EEF68E">
      <w:start w:val="1"/>
      <w:numFmt w:val="bullet"/>
      <w:lvlText w:val=""/>
      <w:lvlJc w:val="left"/>
      <w:pPr>
        <w:ind w:left="720" w:hanging="360"/>
      </w:pPr>
      <w:rPr>
        <w:rFonts w:ascii="Symbol" w:hAnsi="Symbol" w:hint="default"/>
      </w:rPr>
    </w:lvl>
    <w:lvl w:ilvl="1" w:tplc="6186B888">
      <w:start w:val="1"/>
      <w:numFmt w:val="bullet"/>
      <w:lvlText w:val="o"/>
      <w:lvlJc w:val="left"/>
      <w:pPr>
        <w:ind w:left="1440" w:hanging="360"/>
      </w:pPr>
      <w:rPr>
        <w:rFonts w:ascii="Courier New" w:hAnsi="Courier New" w:hint="default"/>
      </w:rPr>
    </w:lvl>
    <w:lvl w:ilvl="2" w:tplc="B1E41A00">
      <w:start w:val="1"/>
      <w:numFmt w:val="bullet"/>
      <w:lvlText w:val=""/>
      <w:lvlJc w:val="left"/>
      <w:pPr>
        <w:ind w:left="2160" w:hanging="360"/>
      </w:pPr>
      <w:rPr>
        <w:rFonts w:ascii="Wingdings" w:hAnsi="Wingdings" w:hint="default"/>
      </w:rPr>
    </w:lvl>
    <w:lvl w:ilvl="3" w:tplc="D0560A5A">
      <w:start w:val="1"/>
      <w:numFmt w:val="bullet"/>
      <w:lvlText w:val=""/>
      <w:lvlJc w:val="left"/>
      <w:pPr>
        <w:ind w:left="2880" w:hanging="360"/>
      </w:pPr>
      <w:rPr>
        <w:rFonts w:ascii="Symbol" w:hAnsi="Symbol" w:hint="default"/>
      </w:rPr>
    </w:lvl>
    <w:lvl w:ilvl="4" w:tplc="75C224AE">
      <w:start w:val="1"/>
      <w:numFmt w:val="bullet"/>
      <w:lvlText w:val="o"/>
      <w:lvlJc w:val="left"/>
      <w:pPr>
        <w:ind w:left="3600" w:hanging="360"/>
      </w:pPr>
      <w:rPr>
        <w:rFonts w:ascii="Courier New" w:hAnsi="Courier New" w:hint="default"/>
      </w:rPr>
    </w:lvl>
    <w:lvl w:ilvl="5" w:tplc="6DBEA140">
      <w:start w:val="1"/>
      <w:numFmt w:val="bullet"/>
      <w:lvlText w:val=""/>
      <w:lvlJc w:val="left"/>
      <w:pPr>
        <w:ind w:left="4320" w:hanging="360"/>
      </w:pPr>
      <w:rPr>
        <w:rFonts w:ascii="Wingdings" w:hAnsi="Wingdings" w:hint="default"/>
      </w:rPr>
    </w:lvl>
    <w:lvl w:ilvl="6" w:tplc="A78AD15A">
      <w:start w:val="1"/>
      <w:numFmt w:val="bullet"/>
      <w:lvlText w:val=""/>
      <w:lvlJc w:val="left"/>
      <w:pPr>
        <w:ind w:left="5040" w:hanging="360"/>
      </w:pPr>
      <w:rPr>
        <w:rFonts w:ascii="Symbol" w:hAnsi="Symbol" w:hint="default"/>
      </w:rPr>
    </w:lvl>
    <w:lvl w:ilvl="7" w:tplc="18E0CF50">
      <w:start w:val="1"/>
      <w:numFmt w:val="bullet"/>
      <w:lvlText w:val="o"/>
      <w:lvlJc w:val="left"/>
      <w:pPr>
        <w:ind w:left="5760" w:hanging="360"/>
      </w:pPr>
      <w:rPr>
        <w:rFonts w:ascii="Courier New" w:hAnsi="Courier New" w:hint="default"/>
      </w:rPr>
    </w:lvl>
    <w:lvl w:ilvl="8" w:tplc="C37ACDAC">
      <w:start w:val="1"/>
      <w:numFmt w:val="bullet"/>
      <w:lvlText w:val=""/>
      <w:lvlJc w:val="left"/>
      <w:pPr>
        <w:ind w:left="6480" w:hanging="360"/>
      </w:pPr>
      <w:rPr>
        <w:rFonts w:ascii="Wingdings" w:hAnsi="Wingdings" w:hint="default"/>
      </w:rPr>
    </w:lvl>
  </w:abstractNum>
  <w:abstractNum w:abstractNumId="49" w15:restartNumberingAfterBreak="0">
    <w:nsid w:val="62716130"/>
    <w:multiLevelType w:val="hybridMultilevel"/>
    <w:tmpl w:val="FFFFFFFF"/>
    <w:lvl w:ilvl="0" w:tplc="7CB0C804">
      <w:start w:val="1"/>
      <w:numFmt w:val="bullet"/>
      <w:lvlText w:val=""/>
      <w:lvlJc w:val="left"/>
      <w:pPr>
        <w:ind w:left="720" w:hanging="360"/>
      </w:pPr>
      <w:rPr>
        <w:rFonts w:ascii="Symbol" w:hAnsi="Symbol" w:hint="default"/>
      </w:rPr>
    </w:lvl>
    <w:lvl w:ilvl="1" w:tplc="B6241A5A">
      <w:start w:val="1"/>
      <w:numFmt w:val="bullet"/>
      <w:lvlText w:val="o"/>
      <w:lvlJc w:val="left"/>
      <w:pPr>
        <w:ind w:left="1440" w:hanging="360"/>
      </w:pPr>
      <w:rPr>
        <w:rFonts w:ascii="Courier New" w:hAnsi="Courier New" w:hint="default"/>
      </w:rPr>
    </w:lvl>
    <w:lvl w:ilvl="2" w:tplc="5CACCC66">
      <w:start w:val="1"/>
      <w:numFmt w:val="bullet"/>
      <w:lvlText w:val=""/>
      <w:lvlJc w:val="left"/>
      <w:pPr>
        <w:ind w:left="2160" w:hanging="360"/>
      </w:pPr>
      <w:rPr>
        <w:rFonts w:ascii="Wingdings" w:hAnsi="Wingdings" w:hint="default"/>
      </w:rPr>
    </w:lvl>
    <w:lvl w:ilvl="3" w:tplc="EBA0E47C">
      <w:start w:val="1"/>
      <w:numFmt w:val="bullet"/>
      <w:lvlText w:val=""/>
      <w:lvlJc w:val="left"/>
      <w:pPr>
        <w:ind w:left="2880" w:hanging="360"/>
      </w:pPr>
      <w:rPr>
        <w:rFonts w:ascii="Symbol" w:hAnsi="Symbol" w:hint="default"/>
      </w:rPr>
    </w:lvl>
    <w:lvl w:ilvl="4" w:tplc="210AC822">
      <w:start w:val="1"/>
      <w:numFmt w:val="bullet"/>
      <w:lvlText w:val="o"/>
      <w:lvlJc w:val="left"/>
      <w:pPr>
        <w:ind w:left="3600" w:hanging="360"/>
      </w:pPr>
      <w:rPr>
        <w:rFonts w:ascii="Courier New" w:hAnsi="Courier New" w:hint="default"/>
      </w:rPr>
    </w:lvl>
    <w:lvl w:ilvl="5" w:tplc="5516AE7C">
      <w:start w:val="1"/>
      <w:numFmt w:val="bullet"/>
      <w:lvlText w:val=""/>
      <w:lvlJc w:val="left"/>
      <w:pPr>
        <w:ind w:left="4320" w:hanging="360"/>
      </w:pPr>
      <w:rPr>
        <w:rFonts w:ascii="Wingdings" w:hAnsi="Wingdings" w:hint="default"/>
      </w:rPr>
    </w:lvl>
    <w:lvl w:ilvl="6" w:tplc="78DE5144">
      <w:start w:val="1"/>
      <w:numFmt w:val="bullet"/>
      <w:lvlText w:val=""/>
      <w:lvlJc w:val="left"/>
      <w:pPr>
        <w:ind w:left="5040" w:hanging="360"/>
      </w:pPr>
      <w:rPr>
        <w:rFonts w:ascii="Symbol" w:hAnsi="Symbol" w:hint="default"/>
      </w:rPr>
    </w:lvl>
    <w:lvl w:ilvl="7" w:tplc="F4BC4FDA">
      <w:start w:val="1"/>
      <w:numFmt w:val="bullet"/>
      <w:lvlText w:val="o"/>
      <w:lvlJc w:val="left"/>
      <w:pPr>
        <w:ind w:left="5760" w:hanging="360"/>
      </w:pPr>
      <w:rPr>
        <w:rFonts w:ascii="Courier New" w:hAnsi="Courier New" w:hint="default"/>
      </w:rPr>
    </w:lvl>
    <w:lvl w:ilvl="8" w:tplc="E22C4C12">
      <w:start w:val="1"/>
      <w:numFmt w:val="bullet"/>
      <w:lvlText w:val=""/>
      <w:lvlJc w:val="left"/>
      <w:pPr>
        <w:ind w:left="6480" w:hanging="360"/>
      </w:pPr>
      <w:rPr>
        <w:rFonts w:ascii="Wingdings" w:hAnsi="Wingdings" w:hint="default"/>
      </w:rPr>
    </w:lvl>
  </w:abstractNum>
  <w:abstractNum w:abstractNumId="50" w15:restartNumberingAfterBreak="0">
    <w:nsid w:val="629005D3"/>
    <w:multiLevelType w:val="hybridMultilevel"/>
    <w:tmpl w:val="649E7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2" w15:restartNumberingAfterBreak="0">
    <w:nsid w:val="64AF5032"/>
    <w:multiLevelType w:val="hybridMultilevel"/>
    <w:tmpl w:val="FFFFFFFF"/>
    <w:lvl w:ilvl="0" w:tplc="C6E8548E">
      <w:start w:val="1"/>
      <w:numFmt w:val="bullet"/>
      <w:lvlText w:val=""/>
      <w:lvlJc w:val="left"/>
      <w:pPr>
        <w:ind w:left="720" w:hanging="360"/>
      </w:pPr>
      <w:rPr>
        <w:rFonts w:ascii="Symbol" w:hAnsi="Symbol" w:hint="default"/>
      </w:rPr>
    </w:lvl>
    <w:lvl w:ilvl="1" w:tplc="36A4A450">
      <w:start w:val="1"/>
      <w:numFmt w:val="bullet"/>
      <w:lvlText w:val="o"/>
      <w:lvlJc w:val="left"/>
      <w:pPr>
        <w:ind w:left="1440" w:hanging="360"/>
      </w:pPr>
      <w:rPr>
        <w:rFonts w:ascii="Courier New" w:hAnsi="Courier New" w:hint="default"/>
      </w:rPr>
    </w:lvl>
    <w:lvl w:ilvl="2" w:tplc="4030DC86">
      <w:start w:val="1"/>
      <w:numFmt w:val="bullet"/>
      <w:lvlText w:val=""/>
      <w:lvlJc w:val="left"/>
      <w:pPr>
        <w:ind w:left="2160" w:hanging="360"/>
      </w:pPr>
      <w:rPr>
        <w:rFonts w:ascii="Wingdings" w:hAnsi="Wingdings" w:hint="default"/>
      </w:rPr>
    </w:lvl>
    <w:lvl w:ilvl="3" w:tplc="7C02F6CA">
      <w:start w:val="1"/>
      <w:numFmt w:val="bullet"/>
      <w:lvlText w:val=""/>
      <w:lvlJc w:val="left"/>
      <w:pPr>
        <w:ind w:left="2880" w:hanging="360"/>
      </w:pPr>
      <w:rPr>
        <w:rFonts w:ascii="Symbol" w:hAnsi="Symbol" w:hint="default"/>
      </w:rPr>
    </w:lvl>
    <w:lvl w:ilvl="4" w:tplc="67CED3AC">
      <w:start w:val="1"/>
      <w:numFmt w:val="bullet"/>
      <w:lvlText w:val="o"/>
      <w:lvlJc w:val="left"/>
      <w:pPr>
        <w:ind w:left="3600" w:hanging="360"/>
      </w:pPr>
      <w:rPr>
        <w:rFonts w:ascii="Courier New" w:hAnsi="Courier New" w:hint="default"/>
      </w:rPr>
    </w:lvl>
    <w:lvl w:ilvl="5" w:tplc="0ED6A934">
      <w:start w:val="1"/>
      <w:numFmt w:val="bullet"/>
      <w:lvlText w:val=""/>
      <w:lvlJc w:val="left"/>
      <w:pPr>
        <w:ind w:left="4320" w:hanging="360"/>
      </w:pPr>
      <w:rPr>
        <w:rFonts w:ascii="Wingdings" w:hAnsi="Wingdings" w:hint="default"/>
      </w:rPr>
    </w:lvl>
    <w:lvl w:ilvl="6" w:tplc="B8C04AC8">
      <w:start w:val="1"/>
      <w:numFmt w:val="bullet"/>
      <w:lvlText w:val=""/>
      <w:lvlJc w:val="left"/>
      <w:pPr>
        <w:ind w:left="5040" w:hanging="360"/>
      </w:pPr>
      <w:rPr>
        <w:rFonts w:ascii="Symbol" w:hAnsi="Symbol" w:hint="default"/>
      </w:rPr>
    </w:lvl>
    <w:lvl w:ilvl="7" w:tplc="51825DF6">
      <w:start w:val="1"/>
      <w:numFmt w:val="bullet"/>
      <w:lvlText w:val="o"/>
      <w:lvlJc w:val="left"/>
      <w:pPr>
        <w:ind w:left="5760" w:hanging="360"/>
      </w:pPr>
      <w:rPr>
        <w:rFonts w:ascii="Courier New" w:hAnsi="Courier New" w:hint="default"/>
      </w:rPr>
    </w:lvl>
    <w:lvl w:ilvl="8" w:tplc="3CEA3682">
      <w:start w:val="1"/>
      <w:numFmt w:val="bullet"/>
      <w:lvlText w:val=""/>
      <w:lvlJc w:val="left"/>
      <w:pPr>
        <w:ind w:left="6480" w:hanging="360"/>
      </w:pPr>
      <w:rPr>
        <w:rFonts w:ascii="Wingdings" w:hAnsi="Wingdings" w:hint="default"/>
      </w:rPr>
    </w:lvl>
  </w:abstractNum>
  <w:abstractNum w:abstractNumId="53" w15:restartNumberingAfterBreak="0">
    <w:nsid w:val="689B4D80"/>
    <w:multiLevelType w:val="multilevel"/>
    <w:tmpl w:val="2872E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A883F7A"/>
    <w:multiLevelType w:val="hybridMultilevel"/>
    <w:tmpl w:val="C06EAC36"/>
    <w:lvl w:ilvl="0" w:tplc="29343CD0">
      <w:start w:val="1"/>
      <w:numFmt w:val="bullet"/>
      <w:lvlText w:val=""/>
      <w:lvlJc w:val="left"/>
      <w:pPr>
        <w:ind w:left="720" w:hanging="360"/>
      </w:pPr>
      <w:rPr>
        <w:rFonts w:ascii="Symbol" w:hAnsi="Symbol" w:hint="default"/>
      </w:rPr>
    </w:lvl>
    <w:lvl w:ilvl="1" w:tplc="4DE25268">
      <w:start w:val="1"/>
      <w:numFmt w:val="bullet"/>
      <w:lvlText w:val="o"/>
      <w:lvlJc w:val="left"/>
      <w:pPr>
        <w:ind w:left="1440" w:hanging="360"/>
      </w:pPr>
      <w:rPr>
        <w:rFonts w:ascii="Courier New" w:hAnsi="Courier New" w:hint="default"/>
      </w:rPr>
    </w:lvl>
    <w:lvl w:ilvl="2" w:tplc="C9C40046">
      <w:start w:val="1"/>
      <w:numFmt w:val="bullet"/>
      <w:lvlText w:val=""/>
      <w:lvlJc w:val="left"/>
      <w:pPr>
        <w:ind w:left="2160" w:hanging="360"/>
      </w:pPr>
      <w:rPr>
        <w:rFonts w:ascii="Wingdings" w:hAnsi="Wingdings" w:hint="default"/>
      </w:rPr>
    </w:lvl>
    <w:lvl w:ilvl="3" w:tplc="CF12A5E8">
      <w:start w:val="1"/>
      <w:numFmt w:val="bullet"/>
      <w:lvlText w:val=""/>
      <w:lvlJc w:val="left"/>
      <w:pPr>
        <w:ind w:left="2880" w:hanging="360"/>
      </w:pPr>
      <w:rPr>
        <w:rFonts w:ascii="Symbol" w:hAnsi="Symbol" w:hint="default"/>
      </w:rPr>
    </w:lvl>
    <w:lvl w:ilvl="4" w:tplc="5DFE4336">
      <w:start w:val="1"/>
      <w:numFmt w:val="bullet"/>
      <w:lvlText w:val="o"/>
      <w:lvlJc w:val="left"/>
      <w:pPr>
        <w:ind w:left="3600" w:hanging="360"/>
      </w:pPr>
      <w:rPr>
        <w:rFonts w:ascii="Courier New" w:hAnsi="Courier New" w:hint="default"/>
      </w:rPr>
    </w:lvl>
    <w:lvl w:ilvl="5" w:tplc="EF2A9DF0">
      <w:start w:val="1"/>
      <w:numFmt w:val="bullet"/>
      <w:lvlText w:val=""/>
      <w:lvlJc w:val="left"/>
      <w:pPr>
        <w:ind w:left="4320" w:hanging="360"/>
      </w:pPr>
      <w:rPr>
        <w:rFonts w:ascii="Wingdings" w:hAnsi="Wingdings" w:hint="default"/>
      </w:rPr>
    </w:lvl>
    <w:lvl w:ilvl="6" w:tplc="AEFA40D8">
      <w:start w:val="1"/>
      <w:numFmt w:val="bullet"/>
      <w:lvlText w:val=""/>
      <w:lvlJc w:val="left"/>
      <w:pPr>
        <w:ind w:left="5040" w:hanging="360"/>
      </w:pPr>
      <w:rPr>
        <w:rFonts w:ascii="Symbol" w:hAnsi="Symbol" w:hint="default"/>
      </w:rPr>
    </w:lvl>
    <w:lvl w:ilvl="7" w:tplc="00A2A984">
      <w:start w:val="1"/>
      <w:numFmt w:val="bullet"/>
      <w:lvlText w:val="o"/>
      <w:lvlJc w:val="left"/>
      <w:pPr>
        <w:ind w:left="5760" w:hanging="360"/>
      </w:pPr>
      <w:rPr>
        <w:rFonts w:ascii="Courier New" w:hAnsi="Courier New" w:hint="default"/>
      </w:rPr>
    </w:lvl>
    <w:lvl w:ilvl="8" w:tplc="AF84FF8E">
      <w:start w:val="1"/>
      <w:numFmt w:val="bullet"/>
      <w:lvlText w:val=""/>
      <w:lvlJc w:val="left"/>
      <w:pPr>
        <w:ind w:left="6480" w:hanging="360"/>
      </w:pPr>
      <w:rPr>
        <w:rFonts w:ascii="Wingdings" w:hAnsi="Wingdings" w:hint="default"/>
      </w:rPr>
    </w:lvl>
  </w:abstractNum>
  <w:abstractNum w:abstractNumId="55" w15:restartNumberingAfterBreak="0">
    <w:nsid w:val="6B045138"/>
    <w:multiLevelType w:val="hybridMultilevel"/>
    <w:tmpl w:val="489E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4244EF"/>
    <w:multiLevelType w:val="hybridMultilevel"/>
    <w:tmpl w:val="FFFFFFFF"/>
    <w:lvl w:ilvl="0" w:tplc="7116B276">
      <w:start w:val="1"/>
      <w:numFmt w:val="bullet"/>
      <w:lvlText w:val=""/>
      <w:lvlJc w:val="left"/>
      <w:pPr>
        <w:ind w:left="720" w:hanging="360"/>
      </w:pPr>
      <w:rPr>
        <w:rFonts w:ascii="Symbol" w:hAnsi="Symbol" w:hint="default"/>
      </w:rPr>
    </w:lvl>
    <w:lvl w:ilvl="1" w:tplc="0E12157E">
      <w:start w:val="1"/>
      <w:numFmt w:val="bullet"/>
      <w:lvlText w:val="o"/>
      <w:lvlJc w:val="left"/>
      <w:pPr>
        <w:ind w:left="1440" w:hanging="360"/>
      </w:pPr>
      <w:rPr>
        <w:rFonts w:ascii="Courier New" w:hAnsi="Courier New" w:hint="default"/>
      </w:rPr>
    </w:lvl>
    <w:lvl w:ilvl="2" w:tplc="C2EA457E">
      <w:start w:val="1"/>
      <w:numFmt w:val="bullet"/>
      <w:lvlText w:val=""/>
      <w:lvlJc w:val="left"/>
      <w:pPr>
        <w:ind w:left="2160" w:hanging="360"/>
      </w:pPr>
      <w:rPr>
        <w:rFonts w:ascii="Symbol" w:hAnsi="Symbol" w:hint="default"/>
      </w:rPr>
    </w:lvl>
    <w:lvl w:ilvl="3" w:tplc="60F058EE">
      <w:start w:val="1"/>
      <w:numFmt w:val="bullet"/>
      <w:lvlText w:val=""/>
      <w:lvlJc w:val="left"/>
      <w:pPr>
        <w:ind w:left="2880" w:hanging="360"/>
      </w:pPr>
      <w:rPr>
        <w:rFonts w:ascii="Symbol" w:hAnsi="Symbol" w:hint="default"/>
      </w:rPr>
    </w:lvl>
    <w:lvl w:ilvl="4" w:tplc="1F0EAA62">
      <w:start w:val="1"/>
      <w:numFmt w:val="bullet"/>
      <w:lvlText w:val="o"/>
      <w:lvlJc w:val="left"/>
      <w:pPr>
        <w:ind w:left="3600" w:hanging="360"/>
      </w:pPr>
      <w:rPr>
        <w:rFonts w:ascii="Courier New" w:hAnsi="Courier New" w:hint="default"/>
      </w:rPr>
    </w:lvl>
    <w:lvl w:ilvl="5" w:tplc="EDB8689A">
      <w:start w:val="1"/>
      <w:numFmt w:val="bullet"/>
      <w:lvlText w:val=""/>
      <w:lvlJc w:val="left"/>
      <w:pPr>
        <w:ind w:left="4320" w:hanging="360"/>
      </w:pPr>
      <w:rPr>
        <w:rFonts w:ascii="Wingdings" w:hAnsi="Wingdings" w:hint="default"/>
      </w:rPr>
    </w:lvl>
    <w:lvl w:ilvl="6" w:tplc="359E45AC">
      <w:start w:val="1"/>
      <w:numFmt w:val="bullet"/>
      <w:lvlText w:val=""/>
      <w:lvlJc w:val="left"/>
      <w:pPr>
        <w:ind w:left="5040" w:hanging="360"/>
      </w:pPr>
      <w:rPr>
        <w:rFonts w:ascii="Symbol" w:hAnsi="Symbol" w:hint="default"/>
      </w:rPr>
    </w:lvl>
    <w:lvl w:ilvl="7" w:tplc="2D080B38">
      <w:start w:val="1"/>
      <w:numFmt w:val="bullet"/>
      <w:lvlText w:val="o"/>
      <w:lvlJc w:val="left"/>
      <w:pPr>
        <w:ind w:left="5760" w:hanging="360"/>
      </w:pPr>
      <w:rPr>
        <w:rFonts w:ascii="Courier New" w:hAnsi="Courier New" w:hint="default"/>
      </w:rPr>
    </w:lvl>
    <w:lvl w:ilvl="8" w:tplc="C64C0858">
      <w:start w:val="1"/>
      <w:numFmt w:val="bullet"/>
      <w:lvlText w:val=""/>
      <w:lvlJc w:val="left"/>
      <w:pPr>
        <w:ind w:left="6480" w:hanging="360"/>
      </w:pPr>
      <w:rPr>
        <w:rFonts w:ascii="Wingdings" w:hAnsi="Wingdings" w:hint="default"/>
      </w:rPr>
    </w:lvl>
  </w:abstractNum>
  <w:abstractNum w:abstractNumId="57" w15:restartNumberingAfterBreak="0">
    <w:nsid w:val="6F4E4AF3"/>
    <w:multiLevelType w:val="multilevel"/>
    <w:tmpl w:val="A7F269EE"/>
    <w:lvl w:ilvl="0">
      <w:start w:val="1"/>
      <w:numFmt w:val="decimal"/>
      <w:lvlRestart w:val="0"/>
      <w:pStyle w:val="CourtNo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ourtNo2"/>
      <w:lvlText w:val="(%2)"/>
      <w:lvlJc w:val="left"/>
      <w:pPr>
        <w:tabs>
          <w:tab w:val="num" w:pos="1134"/>
        </w:tabs>
        <w:ind w:left="113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ourtNo3"/>
      <w:lvlText w:val="(%3)"/>
      <w:lvlJc w:val="left"/>
      <w:pPr>
        <w:tabs>
          <w:tab w:val="num" w:pos="1854"/>
        </w:tabs>
        <w:ind w:left="170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CourtNo4"/>
      <w:lvlText w:val="%4."/>
      <w:lvlJc w:val="left"/>
      <w:pPr>
        <w:tabs>
          <w:tab w:val="num" w:pos="2268"/>
        </w:tabs>
        <w:ind w:left="226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CourtNo5"/>
      <w:lvlText w:val="%5)"/>
      <w:lvlJc w:val="left"/>
      <w:pPr>
        <w:tabs>
          <w:tab w:val="num" w:pos="2835"/>
        </w:tabs>
        <w:ind w:left="283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CourtNo6"/>
      <w:lvlText w:val="%6)"/>
      <w:lvlJc w:val="left"/>
      <w:pPr>
        <w:tabs>
          <w:tab w:val="num" w:pos="3402"/>
        </w:tabs>
        <w:ind w:left="3402"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8" w15:restartNumberingAfterBreak="0">
    <w:nsid w:val="70617C25"/>
    <w:multiLevelType w:val="hybridMultilevel"/>
    <w:tmpl w:val="FFFFFFFF"/>
    <w:lvl w:ilvl="0" w:tplc="E30E2B92">
      <w:start w:val="1"/>
      <w:numFmt w:val="bullet"/>
      <w:lvlText w:val=""/>
      <w:lvlJc w:val="left"/>
      <w:pPr>
        <w:ind w:left="720" w:hanging="360"/>
      </w:pPr>
      <w:rPr>
        <w:rFonts w:ascii="Symbol" w:hAnsi="Symbol" w:hint="default"/>
      </w:rPr>
    </w:lvl>
    <w:lvl w:ilvl="1" w:tplc="FEB6214C">
      <w:start w:val="1"/>
      <w:numFmt w:val="bullet"/>
      <w:lvlText w:val="o"/>
      <w:lvlJc w:val="left"/>
      <w:pPr>
        <w:ind w:left="1440" w:hanging="360"/>
      </w:pPr>
      <w:rPr>
        <w:rFonts w:ascii="Courier New" w:hAnsi="Courier New" w:hint="default"/>
      </w:rPr>
    </w:lvl>
    <w:lvl w:ilvl="2" w:tplc="CCAC980C">
      <w:start w:val="1"/>
      <w:numFmt w:val="bullet"/>
      <w:lvlText w:val=""/>
      <w:lvlJc w:val="left"/>
      <w:pPr>
        <w:ind w:left="2160" w:hanging="360"/>
      </w:pPr>
      <w:rPr>
        <w:rFonts w:ascii="Wingdings" w:hAnsi="Wingdings" w:hint="default"/>
      </w:rPr>
    </w:lvl>
    <w:lvl w:ilvl="3" w:tplc="778472A6">
      <w:start w:val="1"/>
      <w:numFmt w:val="bullet"/>
      <w:lvlText w:val=""/>
      <w:lvlJc w:val="left"/>
      <w:pPr>
        <w:ind w:left="2880" w:hanging="360"/>
      </w:pPr>
      <w:rPr>
        <w:rFonts w:ascii="Symbol" w:hAnsi="Symbol" w:hint="default"/>
      </w:rPr>
    </w:lvl>
    <w:lvl w:ilvl="4" w:tplc="C682E252">
      <w:start w:val="1"/>
      <w:numFmt w:val="bullet"/>
      <w:lvlText w:val="o"/>
      <w:lvlJc w:val="left"/>
      <w:pPr>
        <w:ind w:left="3600" w:hanging="360"/>
      </w:pPr>
      <w:rPr>
        <w:rFonts w:ascii="Courier New" w:hAnsi="Courier New" w:hint="default"/>
      </w:rPr>
    </w:lvl>
    <w:lvl w:ilvl="5" w:tplc="2020DFBC">
      <w:start w:val="1"/>
      <w:numFmt w:val="bullet"/>
      <w:lvlText w:val=""/>
      <w:lvlJc w:val="left"/>
      <w:pPr>
        <w:ind w:left="4320" w:hanging="360"/>
      </w:pPr>
      <w:rPr>
        <w:rFonts w:ascii="Wingdings" w:hAnsi="Wingdings" w:hint="default"/>
      </w:rPr>
    </w:lvl>
    <w:lvl w:ilvl="6" w:tplc="ABB838F6">
      <w:start w:val="1"/>
      <w:numFmt w:val="bullet"/>
      <w:lvlText w:val=""/>
      <w:lvlJc w:val="left"/>
      <w:pPr>
        <w:ind w:left="5040" w:hanging="360"/>
      </w:pPr>
      <w:rPr>
        <w:rFonts w:ascii="Symbol" w:hAnsi="Symbol" w:hint="default"/>
      </w:rPr>
    </w:lvl>
    <w:lvl w:ilvl="7" w:tplc="B6C2CDF6">
      <w:start w:val="1"/>
      <w:numFmt w:val="bullet"/>
      <w:lvlText w:val="o"/>
      <w:lvlJc w:val="left"/>
      <w:pPr>
        <w:ind w:left="5760" w:hanging="360"/>
      </w:pPr>
      <w:rPr>
        <w:rFonts w:ascii="Courier New" w:hAnsi="Courier New" w:hint="default"/>
      </w:rPr>
    </w:lvl>
    <w:lvl w:ilvl="8" w:tplc="FF2CF276">
      <w:start w:val="1"/>
      <w:numFmt w:val="bullet"/>
      <w:lvlText w:val=""/>
      <w:lvlJc w:val="left"/>
      <w:pPr>
        <w:ind w:left="6480" w:hanging="360"/>
      </w:pPr>
      <w:rPr>
        <w:rFonts w:ascii="Wingdings" w:hAnsi="Wingdings" w:hint="default"/>
      </w:rPr>
    </w:lvl>
  </w:abstractNum>
  <w:abstractNum w:abstractNumId="59" w15:restartNumberingAfterBreak="0">
    <w:nsid w:val="72E80E10"/>
    <w:multiLevelType w:val="hybridMultilevel"/>
    <w:tmpl w:val="4C2A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860289"/>
    <w:multiLevelType w:val="hybridMultilevel"/>
    <w:tmpl w:val="C4823B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2" w15:restartNumberingAfterBreak="0">
    <w:nsid w:val="7D516AAE"/>
    <w:multiLevelType w:val="multilevel"/>
    <w:tmpl w:val="20FE1EB8"/>
    <w:lvl w:ilvl="0">
      <w:start w:val="1"/>
      <w:numFmt w:val="none"/>
      <w:pStyle w:val="CourtIndent1"/>
      <w:suff w:val="nothing"/>
      <w:lvlText w:val=""/>
      <w:lvlJc w:val="left"/>
      <w:pPr>
        <w:ind w:left="567" w:firstLine="0"/>
      </w:pPr>
      <w:rPr>
        <w:rFonts w:ascii="Arial" w:hAnsi="Arial" w:hint="default"/>
        <w:b/>
        <w:i w:val="0"/>
        <w:caps/>
        <w:sz w:val="28"/>
        <w:u w:val="none"/>
      </w:rPr>
    </w:lvl>
    <w:lvl w:ilvl="1">
      <w:start w:val="1"/>
      <w:numFmt w:val="none"/>
      <w:pStyle w:val="CourtIndent2"/>
      <w:suff w:val="nothing"/>
      <w:lvlText w:val="%1"/>
      <w:lvlJc w:val="left"/>
      <w:pPr>
        <w:ind w:left="1134" w:firstLine="0"/>
      </w:pPr>
      <w:rPr>
        <w:rFonts w:ascii="Arial" w:hAnsi="Arial" w:hint="default"/>
        <w:b/>
        <w:i w:val="0"/>
        <w:sz w:val="24"/>
        <w:u w:val="none"/>
      </w:rPr>
    </w:lvl>
    <w:lvl w:ilvl="2">
      <w:start w:val="1"/>
      <w:numFmt w:val="none"/>
      <w:pStyle w:val="CourtIndent3"/>
      <w:suff w:val="nothing"/>
      <w:lvlText w:val=""/>
      <w:lvlJc w:val="left"/>
      <w:pPr>
        <w:ind w:left="1701" w:firstLine="0"/>
      </w:pPr>
      <w:rPr>
        <w:rFonts w:hint="default"/>
        <w:b w:val="0"/>
        <w:i w:val="0"/>
        <w:u w:val="none"/>
      </w:rPr>
    </w:lvl>
    <w:lvl w:ilvl="3">
      <w:start w:val="1"/>
      <w:numFmt w:val="none"/>
      <w:pStyle w:val="CourtIndent4"/>
      <w:suff w:val="nothing"/>
      <w:lvlText w:val=""/>
      <w:lvlJc w:val="left"/>
      <w:pPr>
        <w:ind w:left="2268" w:firstLine="0"/>
      </w:pPr>
      <w:rPr>
        <w:rFonts w:hint="default"/>
        <w:u w:val="none"/>
      </w:rPr>
    </w:lvl>
    <w:lvl w:ilvl="4">
      <w:start w:val="1"/>
      <w:numFmt w:val="none"/>
      <w:pStyle w:val="CourtIndent5"/>
      <w:suff w:val="nothing"/>
      <w:lvlText w:val=""/>
      <w:lvlJc w:val="left"/>
      <w:pPr>
        <w:ind w:left="2835" w:firstLine="0"/>
      </w:pPr>
      <w:rPr>
        <w:rFonts w:hint="default"/>
        <w:b w:val="0"/>
        <w:i w:val="0"/>
        <w:u w:val="none"/>
      </w:rPr>
    </w:lvl>
    <w:lvl w:ilvl="5">
      <w:start w:val="1"/>
      <w:numFmt w:val="none"/>
      <w:pStyle w:val="CourtIndent6"/>
      <w:suff w:val="nothing"/>
      <w:lvlText w:val=""/>
      <w:lvlJc w:val="left"/>
      <w:pPr>
        <w:ind w:left="3402" w:firstLine="0"/>
      </w:pPr>
      <w:rPr>
        <w:rFonts w:hint="default"/>
        <w:b w:val="0"/>
        <w:i w:val="0"/>
        <w:u w:val="none"/>
      </w:rPr>
    </w:lvl>
    <w:lvl w:ilvl="6">
      <w:start w:val="1"/>
      <w:numFmt w:val="none"/>
      <w:lvlText w:val=""/>
      <w:lvlJc w:val="left"/>
      <w:pPr>
        <w:tabs>
          <w:tab w:val="num" w:pos="4329"/>
        </w:tabs>
        <w:ind w:left="3969" w:firstLine="0"/>
      </w:pPr>
      <w:rPr>
        <w:rFonts w:hint="default"/>
        <w:b w:val="0"/>
        <w:i w:val="0"/>
        <w:u w:val="none"/>
      </w:rPr>
    </w:lvl>
    <w:lvl w:ilvl="7">
      <w:start w:val="1"/>
      <w:numFmt w:val="none"/>
      <w:lvlText w:val=""/>
      <w:lvlJc w:val="left"/>
      <w:pPr>
        <w:tabs>
          <w:tab w:val="num" w:pos="4896"/>
        </w:tabs>
        <w:ind w:left="4536" w:firstLine="0"/>
      </w:pPr>
      <w:rPr>
        <w:rFonts w:hint="default"/>
        <w:b w:val="0"/>
        <w:i w:val="0"/>
        <w:u w:val="none"/>
      </w:rPr>
    </w:lvl>
    <w:lvl w:ilvl="8">
      <w:start w:val="1"/>
      <w:numFmt w:val="none"/>
      <w:lvlRestart w:val="0"/>
      <w:suff w:val="nothing"/>
      <w:lvlText w:val=""/>
      <w:lvlJc w:val="left"/>
      <w:pPr>
        <w:ind w:left="5103" w:firstLine="0"/>
      </w:pPr>
      <w:rPr>
        <w:rFonts w:hint="default"/>
      </w:rPr>
    </w:lvl>
  </w:abstractNum>
  <w:abstractNum w:abstractNumId="63" w15:restartNumberingAfterBreak="0">
    <w:nsid w:val="7F6D4CD4"/>
    <w:multiLevelType w:val="hybridMultilevel"/>
    <w:tmpl w:val="FFFFFFFF"/>
    <w:lvl w:ilvl="0" w:tplc="6F1A9082">
      <w:start w:val="1"/>
      <w:numFmt w:val="bullet"/>
      <w:lvlText w:val=""/>
      <w:lvlJc w:val="left"/>
      <w:pPr>
        <w:ind w:left="720" w:hanging="360"/>
      </w:pPr>
      <w:rPr>
        <w:rFonts w:ascii="Symbol" w:hAnsi="Symbol" w:hint="default"/>
      </w:rPr>
    </w:lvl>
    <w:lvl w:ilvl="1" w:tplc="45C609C6">
      <w:start w:val="1"/>
      <w:numFmt w:val="bullet"/>
      <w:lvlText w:val="o"/>
      <w:lvlJc w:val="left"/>
      <w:pPr>
        <w:ind w:left="1440" w:hanging="360"/>
      </w:pPr>
      <w:rPr>
        <w:rFonts w:ascii="Courier New" w:hAnsi="Courier New" w:hint="default"/>
      </w:rPr>
    </w:lvl>
    <w:lvl w:ilvl="2" w:tplc="6C8EE3FE">
      <w:start w:val="1"/>
      <w:numFmt w:val="bullet"/>
      <w:lvlText w:val=""/>
      <w:lvlJc w:val="left"/>
      <w:pPr>
        <w:ind w:left="2160" w:hanging="360"/>
      </w:pPr>
      <w:rPr>
        <w:rFonts w:ascii="Wingdings" w:hAnsi="Wingdings" w:hint="default"/>
      </w:rPr>
    </w:lvl>
    <w:lvl w:ilvl="3" w:tplc="0C4E5198">
      <w:start w:val="1"/>
      <w:numFmt w:val="bullet"/>
      <w:lvlText w:val=""/>
      <w:lvlJc w:val="left"/>
      <w:pPr>
        <w:ind w:left="2880" w:hanging="360"/>
      </w:pPr>
      <w:rPr>
        <w:rFonts w:ascii="Symbol" w:hAnsi="Symbol" w:hint="default"/>
      </w:rPr>
    </w:lvl>
    <w:lvl w:ilvl="4" w:tplc="CD6407BE">
      <w:start w:val="1"/>
      <w:numFmt w:val="bullet"/>
      <w:lvlText w:val="o"/>
      <w:lvlJc w:val="left"/>
      <w:pPr>
        <w:ind w:left="3600" w:hanging="360"/>
      </w:pPr>
      <w:rPr>
        <w:rFonts w:ascii="Courier New" w:hAnsi="Courier New" w:hint="default"/>
      </w:rPr>
    </w:lvl>
    <w:lvl w:ilvl="5" w:tplc="3F146FE0">
      <w:start w:val="1"/>
      <w:numFmt w:val="bullet"/>
      <w:lvlText w:val=""/>
      <w:lvlJc w:val="left"/>
      <w:pPr>
        <w:ind w:left="4320" w:hanging="360"/>
      </w:pPr>
      <w:rPr>
        <w:rFonts w:ascii="Wingdings" w:hAnsi="Wingdings" w:hint="default"/>
      </w:rPr>
    </w:lvl>
    <w:lvl w:ilvl="6" w:tplc="664A971C">
      <w:start w:val="1"/>
      <w:numFmt w:val="bullet"/>
      <w:lvlText w:val=""/>
      <w:lvlJc w:val="left"/>
      <w:pPr>
        <w:ind w:left="5040" w:hanging="360"/>
      </w:pPr>
      <w:rPr>
        <w:rFonts w:ascii="Symbol" w:hAnsi="Symbol" w:hint="default"/>
      </w:rPr>
    </w:lvl>
    <w:lvl w:ilvl="7" w:tplc="BC3A8A02">
      <w:start w:val="1"/>
      <w:numFmt w:val="bullet"/>
      <w:lvlText w:val="o"/>
      <w:lvlJc w:val="left"/>
      <w:pPr>
        <w:ind w:left="5760" w:hanging="360"/>
      </w:pPr>
      <w:rPr>
        <w:rFonts w:ascii="Courier New" w:hAnsi="Courier New" w:hint="default"/>
      </w:rPr>
    </w:lvl>
    <w:lvl w:ilvl="8" w:tplc="EBC6CD54">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43"/>
  </w:num>
  <w:num w:numId="4">
    <w:abstractNumId w:val="38"/>
  </w:num>
  <w:num w:numId="5">
    <w:abstractNumId w:val="30"/>
  </w:num>
  <w:num w:numId="6">
    <w:abstractNumId w:val="33"/>
  </w:num>
  <w:num w:numId="7">
    <w:abstractNumId w:val="0"/>
  </w:num>
  <w:num w:numId="8">
    <w:abstractNumId w:val="6"/>
  </w:num>
  <w:num w:numId="9">
    <w:abstractNumId w:val="24"/>
  </w:num>
  <w:num w:numId="10">
    <w:abstractNumId w:val="32"/>
  </w:num>
  <w:num w:numId="11">
    <w:abstractNumId w:val="17"/>
  </w:num>
  <w:num w:numId="12">
    <w:abstractNumId w:val="40"/>
  </w:num>
  <w:num w:numId="13">
    <w:abstractNumId w:val="39"/>
  </w:num>
  <w:num w:numId="14">
    <w:abstractNumId w:val="14"/>
  </w:num>
  <w:num w:numId="15">
    <w:abstractNumId w:val="27"/>
  </w:num>
  <w:num w:numId="16">
    <w:abstractNumId w:val="7"/>
  </w:num>
  <w:num w:numId="17">
    <w:abstractNumId w:val="2"/>
  </w:num>
  <w:num w:numId="18">
    <w:abstractNumId w:val="11"/>
  </w:num>
  <w:num w:numId="19">
    <w:abstractNumId w:val="37"/>
  </w:num>
  <w:num w:numId="20">
    <w:abstractNumId w:val="1"/>
  </w:num>
  <w:num w:numId="21">
    <w:abstractNumId w:val="59"/>
  </w:num>
  <w:num w:numId="22">
    <w:abstractNumId w:val="25"/>
  </w:num>
  <w:num w:numId="23">
    <w:abstractNumId w:val="41"/>
  </w:num>
  <w:num w:numId="24">
    <w:abstractNumId w:val="45"/>
  </w:num>
  <w:num w:numId="25">
    <w:abstractNumId w:val="21"/>
  </w:num>
  <w:num w:numId="26">
    <w:abstractNumId w:val="56"/>
  </w:num>
  <w:num w:numId="27">
    <w:abstractNumId w:val="52"/>
  </w:num>
  <w:num w:numId="28">
    <w:abstractNumId w:val="23"/>
  </w:num>
  <w:num w:numId="29">
    <w:abstractNumId w:val="63"/>
  </w:num>
  <w:num w:numId="30">
    <w:abstractNumId w:val="35"/>
  </w:num>
  <w:num w:numId="31">
    <w:abstractNumId w:val="44"/>
  </w:num>
  <w:num w:numId="32">
    <w:abstractNumId w:val="4"/>
  </w:num>
  <w:num w:numId="33">
    <w:abstractNumId w:val="49"/>
  </w:num>
  <w:num w:numId="34">
    <w:abstractNumId w:val="58"/>
  </w:num>
  <w:num w:numId="35">
    <w:abstractNumId w:val="15"/>
  </w:num>
  <w:num w:numId="36">
    <w:abstractNumId w:val="28"/>
  </w:num>
  <w:num w:numId="37">
    <w:abstractNumId w:val="22"/>
  </w:num>
  <w:num w:numId="38">
    <w:abstractNumId w:val="18"/>
  </w:num>
  <w:num w:numId="39">
    <w:abstractNumId w:val="48"/>
  </w:num>
  <w:num w:numId="40">
    <w:abstractNumId w:val="54"/>
  </w:num>
  <w:num w:numId="41">
    <w:abstractNumId w:val="55"/>
  </w:num>
  <w:num w:numId="42">
    <w:abstractNumId w:val="8"/>
  </w:num>
  <w:num w:numId="43">
    <w:abstractNumId w:val="53"/>
  </w:num>
  <w:num w:numId="44">
    <w:abstractNumId w:val="34"/>
  </w:num>
  <w:num w:numId="45">
    <w:abstractNumId w:val="60"/>
  </w:num>
  <w:num w:numId="46">
    <w:abstractNumId w:val="19"/>
  </w:num>
  <w:num w:numId="47">
    <w:abstractNumId w:val="31"/>
  </w:num>
  <w:num w:numId="48">
    <w:abstractNumId w:val="50"/>
  </w:num>
  <w:num w:numId="49">
    <w:abstractNumId w:val="9"/>
  </w:num>
  <w:num w:numId="50">
    <w:abstractNumId w:val="12"/>
  </w:num>
  <w:num w:numId="51">
    <w:abstractNumId w:val="3"/>
  </w:num>
  <w:num w:numId="52">
    <w:abstractNumId w:val="29"/>
  </w:num>
  <w:num w:numId="53">
    <w:abstractNumId w:val="46"/>
  </w:num>
  <w:num w:numId="54">
    <w:abstractNumId w:val="13"/>
  </w:num>
  <w:num w:numId="55">
    <w:abstractNumId w:val="10"/>
  </w:num>
  <w:num w:numId="56">
    <w:abstractNumId w:val="42"/>
  </w:num>
  <w:num w:numId="57">
    <w:abstractNumId w:val="57"/>
  </w:num>
  <w:num w:numId="58">
    <w:abstractNumId w:val="6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1"/>
  <w:activeWritingStyle w:appName="MSWord" w:lang="en-US" w:vendorID="64" w:dllVersion="0" w:nlCheck="1" w:checkStyle="1"/>
  <w:activeWritingStyle w:appName="MSWord" w:lang="en-GB"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4"/>
    <w:rsid w:val="0000004A"/>
    <w:rsid w:val="0000023C"/>
    <w:rsid w:val="0000031F"/>
    <w:rsid w:val="00000732"/>
    <w:rsid w:val="00000836"/>
    <w:rsid w:val="00000BE8"/>
    <w:rsid w:val="00000FAE"/>
    <w:rsid w:val="00001771"/>
    <w:rsid w:val="000017B3"/>
    <w:rsid w:val="0000194D"/>
    <w:rsid w:val="000019C7"/>
    <w:rsid w:val="00001FF4"/>
    <w:rsid w:val="000022C6"/>
    <w:rsid w:val="000027F3"/>
    <w:rsid w:val="00002AF7"/>
    <w:rsid w:val="0000389D"/>
    <w:rsid w:val="00003CA2"/>
    <w:rsid w:val="000040E9"/>
    <w:rsid w:val="00004987"/>
    <w:rsid w:val="0000498B"/>
    <w:rsid w:val="00004DB2"/>
    <w:rsid w:val="0000521A"/>
    <w:rsid w:val="00005428"/>
    <w:rsid w:val="0000586C"/>
    <w:rsid w:val="00005D6D"/>
    <w:rsid w:val="00006293"/>
    <w:rsid w:val="000065F5"/>
    <w:rsid w:val="0000661E"/>
    <w:rsid w:val="000066A8"/>
    <w:rsid w:val="00006B26"/>
    <w:rsid w:val="00006B5B"/>
    <w:rsid w:val="00007914"/>
    <w:rsid w:val="00007983"/>
    <w:rsid w:val="000101D1"/>
    <w:rsid w:val="00010DF0"/>
    <w:rsid w:val="000113E2"/>
    <w:rsid w:val="00011D68"/>
    <w:rsid w:val="00011E99"/>
    <w:rsid w:val="00011EDB"/>
    <w:rsid w:val="00012144"/>
    <w:rsid w:val="00012194"/>
    <w:rsid w:val="00012802"/>
    <w:rsid w:val="00012ACD"/>
    <w:rsid w:val="00012BE1"/>
    <w:rsid w:val="00012DD8"/>
    <w:rsid w:val="00012ED5"/>
    <w:rsid w:val="000136C0"/>
    <w:rsid w:val="0001390D"/>
    <w:rsid w:val="00013AAF"/>
    <w:rsid w:val="00013CEF"/>
    <w:rsid w:val="00013E64"/>
    <w:rsid w:val="000142EE"/>
    <w:rsid w:val="000143D3"/>
    <w:rsid w:val="00014BC6"/>
    <w:rsid w:val="00014C0B"/>
    <w:rsid w:val="00014D3F"/>
    <w:rsid w:val="00014E14"/>
    <w:rsid w:val="00015333"/>
    <w:rsid w:val="000155A6"/>
    <w:rsid w:val="00015654"/>
    <w:rsid w:val="000157B9"/>
    <w:rsid w:val="00015840"/>
    <w:rsid w:val="00015C3F"/>
    <w:rsid w:val="0001649D"/>
    <w:rsid w:val="0001664D"/>
    <w:rsid w:val="000166DE"/>
    <w:rsid w:val="0001679C"/>
    <w:rsid w:val="000167EA"/>
    <w:rsid w:val="00016B26"/>
    <w:rsid w:val="00016E67"/>
    <w:rsid w:val="00016F0B"/>
    <w:rsid w:val="0001727E"/>
    <w:rsid w:val="000174D0"/>
    <w:rsid w:val="000175EE"/>
    <w:rsid w:val="00017DB7"/>
    <w:rsid w:val="0002056E"/>
    <w:rsid w:val="000207CB"/>
    <w:rsid w:val="00020C81"/>
    <w:rsid w:val="00020DB0"/>
    <w:rsid w:val="000212A5"/>
    <w:rsid w:val="000215E2"/>
    <w:rsid w:val="0002192E"/>
    <w:rsid w:val="00021C9C"/>
    <w:rsid w:val="00021D0F"/>
    <w:rsid w:val="00022395"/>
    <w:rsid w:val="00022451"/>
    <w:rsid w:val="00022510"/>
    <w:rsid w:val="0002278F"/>
    <w:rsid w:val="000229F1"/>
    <w:rsid w:val="00022A04"/>
    <w:rsid w:val="00022C70"/>
    <w:rsid w:val="00022C83"/>
    <w:rsid w:val="00022F0E"/>
    <w:rsid w:val="00022F62"/>
    <w:rsid w:val="000230AF"/>
    <w:rsid w:val="00023183"/>
    <w:rsid w:val="000232EC"/>
    <w:rsid w:val="00023485"/>
    <w:rsid w:val="00023BEA"/>
    <w:rsid w:val="000240FD"/>
    <w:rsid w:val="000242FC"/>
    <w:rsid w:val="000246D7"/>
    <w:rsid w:val="0002485A"/>
    <w:rsid w:val="00024B69"/>
    <w:rsid w:val="00024C91"/>
    <w:rsid w:val="00024ED0"/>
    <w:rsid w:val="0002501F"/>
    <w:rsid w:val="00025D68"/>
    <w:rsid w:val="00025E8A"/>
    <w:rsid w:val="00026286"/>
    <w:rsid w:val="00026AC6"/>
    <w:rsid w:val="00026DDB"/>
    <w:rsid w:val="0002749A"/>
    <w:rsid w:val="00027528"/>
    <w:rsid w:val="0002779D"/>
    <w:rsid w:val="00027B45"/>
    <w:rsid w:val="00027B8B"/>
    <w:rsid w:val="00027EFA"/>
    <w:rsid w:val="000301B8"/>
    <w:rsid w:val="000302B9"/>
    <w:rsid w:val="000303F9"/>
    <w:rsid w:val="00030577"/>
    <w:rsid w:val="000315E4"/>
    <w:rsid w:val="00031690"/>
    <w:rsid w:val="00031BCD"/>
    <w:rsid w:val="00031FAB"/>
    <w:rsid w:val="00032226"/>
    <w:rsid w:val="00032484"/>
    <w:rsid w:val="00032542"/>
    <w:rsid w:val="000328CF"/>
    <w:rsid w:val="00032AF3"/>
    <w:rsid w:val="00032DD5"/>
    <w:rsid w:val="00032EA6"/>
    <w:rsid w:val="000330F1"/>
    <w:rsid w:val="00033520"/>
    <w:rsid w:val="00033E4A"/>
    <w:rsid w:val="00034091"/>
    <w:rsid w:val="000343AD"/>
    <w:rsid w:val="00034432"/>
    <w:rsid w:val="00034AB8"/>
    <w:rsid w:val="00034BDD"/>
    <w:rsid w:val="000353DF"/>
    <w:rsid w:val="00035698"/>
    <w:rsid w:val="000358FB"/>
    <w:rsid w:val="000359AF"/>
    <w:rsid w:val="00035FB2"/>
    <w:rsid w:val="000364C7"/>
    <w:rsid w:val="0003674F"/>
    <w:rsid w:val="00036F5C"/>
    <w:rsid w:val="00037182"/>
    <w:rsid w:val="000374D6"/>
    <w:rsid w:val="000376FD"/>
    <w:rsid w:val="00037708"/>
    <w:rsid w:val="00037996"/>
    <w:rsid w:val="00037F8D"/>
    <w:rsid w:val="000401E4"/>
    <w:rsid w:val="00040BB1"/>
    <w:rsid w:val="00040BC3"/>
    <w:rsid w:val="00040C6C"/>
    <w:rsid w:val="00041137"/>
    <w:rsid w:val="000411D9"/>
    <w:rsid w:val="0004128D"/>
    <w:rsid w:val="00041ECA"/>
    <w:rsid w:val="000422F4"/>
    <w:rsid w:val="0004249D"/>
    <w:rsid w:val="000425A1"/>
    <w:rsid w:val="00042B20"/>
    <w:rsid w:val="00043691"/>
    <w:rsid w:val="000437B1"/>
    <w:rsid w:val="00043DA0"/>
    <w:rsid w:val="00043ED2"/>
    <w:rsid w:val="00044059"/>
    <w:rsid w:val="00044291"/>
    <w:rsid w:val="00044503"/>
    <w:rsid w:val="0004474E"/>
    <w:rsid w:val="000447A5"/>
    <w:rsid w:val="00044B98"/>
    <w:rsid w:val="0004529E"/>
    <w:rsid w:val="000462D9"/>
    <w:rsid w:val="0004658E"/>
    <w:rsid w:val="00046D14"/>
    <w:rsid w:val="00046DA3"/>
    <w:rsid w:val="00047B27"/>
    <w:rsid w:val="00047EA1"/>
    <w:rsid w:val="000501C7"/>
    <w:rsid w:val="0005040F"/>
    <w:rsid w:val="00050493"/>
    <w:rsid w:val="00050664"/>
    <w:rsid w:val="00051543"/>
    <w:rsid w:val="000515BD"/>
    <w:rsid w:val="00051C64"/>
    <w:rsid w:val="00051EBC"/>
    <w:rsid w:val="00051F2A"/>
    <w:rsid w:val="00052338"/>
    <w:rsid w:val="000525D4"/>
    <w:rsid w:val="00053254"/>
    <w:rsid w:val="00053385"/>
    <w:rsid w:val="00053784"/>
    <w:rsid w:val="00053B56"/>
    <w:rsid w:val="00053B8C"/>
    <w:rsid w:val="00053C79"/>
    <w:rsid w:val="00053F1C"/>
    <w:rsid w:val="000541C5"/>
    <w:rsid w:val="0005492F"/>
    <w:rsid w:val="00054BB8"/>
    <w:rsid w:val="00054D8A"/>
    <w:rsid w:val="00054FA5"/>
    <w:rsid w:val="00055308"/>
    <w:rsid w:val="0005531A"/>
    <w:rsid w:val="00055352"/>
    <w:rsid w:val="0005577D"/>
    <w:rsid w:val="00055832"/>
    <w:rsid w:val="00055AEC"/>
    <w:rsid w:val="00055B69"/>
    <w:rsid w:val="00055D5C"/>
    <w:rsid w:val="00055D64"/>
    <w:rsid w:val="00055FFF"/>
    <w:rsid w:val="0005609D"/>
    <w:rsid w:val="00056222"/>
    <w:rsid w:val="0005663F"/>
    <w:rsid w:val="000566E9"/>
    <w:rsid w:val="00056736"/>
    <w:rsid w:val="00056B13"/>
    <w:rsid w:val="00056D16"/>
    <w:rsid w:val="00056F2A"/>
    <w:rsid w:val="0005708A"/>
    <w:rsid w:val="0005720E"/>
    <w:rsid w:val="00057635"/>
    <w:rsid w:val="00057661"/>
    <w:rsid w:val="00057951"/>
    <w:rsid w:val="000579AC"/>
    <w:rsid w:val="00057A43"/>
    <w:rsid w:val="00057B34"/>
    <w:rsid w:val="00057DAF"/>
    <w:rsid w:val="00057F35"/>
    <w:rsid w:val="00057FED"/>
    <w:rsid w:val="00060389"/>
    <w:rsid w:val="00060493"/>
    <w:rsid w:val="00060DD3"/>
    <w:rsid w:val="000610FC"/>
    <w:rsid w:val="00061235"/>
    <w:rsid w:val="000615DA"/>
    <w:rsid w:val="000618B9"/>
    <w:rsid w:val="0006199F"/>
    <w:rsid w:val="00061B58"/>
    <w:rsid w:val="00061C5D"/>
    <w:rsid w:val="00061FCB"/>
    <w:rsid w:val="0006210F"/>
    <w:rsid w:val="000622CB"/>
    <w:rsid w:val="00062699"/>
    <w:rsid w:val="0006351C"/>
    <w:rsid w:val="00063AC1"/>
    <w:rsid w:val="000642EF"/>
    <w:rsid w:val="00064A81"/>
    <w:rsid w:val="00064B2A"/>
    <w:rsid w:val="00064B98"/>
    <w:rsid w:val="000652F8"/>
    <w:rsid w:val="00065392"/>
    <w:rsid w:val="000653CE"/>
    <w:rsid w:val="000654FB"/>
    <w:rsid w:val="00065684"/>
    <w:rsid w:val="0006571A"/>
    <w:rsid w:val="00065777"/>
    <w:rsid w:val="00065B04"/>
    <w:rsid w:val="0006631E"/>
    <w:rsid w:val="00066523"/>
    <w:rsid w:val="000667F1"/>
    <w:rsid w:val="000668D4"/>
    <w:rsid w:val="00066958"/>
    <w:rsid w:val="000669B8"/>
    <w:rsid w:val="00066D4D"/>
    <w:rsid w:val="00066FCC"/>
    <w:rsid w:val="00067046"/>
    <w:rsid w:val="0006719F"/>
    <w:rsid w:val="00067A22"/>
    <w:rsid w:val="00067A5D"/>
    <w:rsid w:val="00067D38"/>
    <w:rsid w:val="00070179"/>
    <w:rsid w:val="00070696"/>
    <w:rsid w:val="00071241"/>
    <w:rsid w:val="00071A45"/>
    <w:rsid w:val="000721F9"/>
    <w:rsid w:val="00073140"/>
    <w:rsid w:val="0007322D"/>
    <w:rsid w:val="0007336E"/>
    <w:rsid w:val="000738A9"/>
    <w:rsid w:val="000739C9"/>
    <w:rsid w:val="00073AFB"/>
    <w:rsid w:val="00073D6D"/>
    <w:rsid w:val="00073E56"/>
    <w:rsid w:val="00073FFA"/>
    <w:rsid w:val="00074A45"/>
    <w:rsid w:val="00074C9A"/>
    <w:rsid w:val="00074E88"/>
    <w:rsid w:val="00074EF9"/>
    <w:rsid w:val="00075238"/>
    <w:rsid w:val="00075617"/>
    <w:rsid w:val="00075850"/>
    <w:rsid w:val="000760DB"/>
    <w:rsid w:val="000761AE"/>
    <w:rsid w:val="00076AC1"/>
    <w:rsid w:val="0007709B"/>
    <w:rsid w:val="000775C6"/>
    <w:rsid w:val="00077C1E"/>
    <w:rsid w:val="00077E7A"/>
    <w:rsid w:val="00080032"/>
    <w:rsid w:val="0008007A"/>
    <w:rsid w:val="0008012F"/>
    <w:rsid w:val="000802CB"/>
    <w:rsid w:val="00081053"/>
    <w:rsid w:val="000811ED"/>
    <w:rsid w:val="00081319"/>
    <w:rsid w:val="0008179D"/>
    <w:rsid w:val="00081F68"/>
    <w:rsid w:val="0008216D"/>
    <w:rsid w:val="000826D0"/>
    <w:rsid w:val="000826DD"/>
    <w:rsid w:val="00082B25"/>
    <w:rsid w:val="00082C3E"/>
    <w:rsid w:val="00082E1E"/>
    <w:rsid w:val="00083130"/>
    <w:rsid w:val="00083206"/>
    <w:rsid w:val="00083B63"/>
    <w:rsid w:val="00083CEA"/>
    <w:rsid w:val="00083CFC"/>
    <w:rsid w:val="00083E71"/>
    <w:rsid w:val="00084669"/>
    <w:rsid w:val="00084883"/>
    <w:rsid w:val="0008493F"/>
    <w:rsid w:val="00084A5C"/>
    <w:rsid w:val="00084B3B"/>
    <w:rsid w:val="00084B84"/>
    <w:rsid w:val="00084C6C"/>
    <w:rsid w:val="00084EEE"/>
    <w:rsid w:val="00085508"/>
    <w:rsid w:val="000855FC"/>
    <w:rsid w:val="00085B9D"/>
    <w:rsid w:val="00085F24"/>
    <w:rsid w:val="00086436"/>
    <w:rsid w:val="000868B9"/>
    <w:rsid w:val="00086CFB"/>
    <w:rsid w:val="00086ED9"/>
    <w:rsid w:val="00087364"/>
    <w:rsid w:val="000873A5"/>
    <w:rsid w:val="0008782F"/>
    <w:rsid w:val="00087ECB"/>
    <w:rsid w:val="00090167"/>
    <w:rsid w:val="00090256"/>
    <w:rsid w:val="0009026E"/>
    <w:rsid w:val="000905D3"/>
    <w:rsid w:val="0009077E"/>
    <w:rsid w:val="00090926"/>
    <w:rsid w:val="00090DC3"/>
    <w:rsid w:val="0009153E"/>
    <w:rsid w:val="00091F1C"/>
    <w:rsid w:val="000920EE"/>
    <w:rsid w:val="000921C5"/>
    <w:rsid w:val="0009220D"/>
    <w:rsid w:val="000922F9"/>
    <w:rsid w:val="00092377"/>
    <w:rsid w:val="0009281D"/>
    <w:rsid w:val="00092CE7"/>
    <w:rsid w:val="0009304B"/>
    <w:rsid w:val="000933EE"/>
    <w:rsid w:val="0009343C"/>
    <w:rsid w:val="0009387F"/>
    <w:rsid w:val="00093B2E"/>
    <w:rsid w:val="00093BE6"/>
    <w:rsid w:val="00093BE7"/>
    <w:rsid w:val="00093CA6"/>
    <w:rsid w:val="00093EA0"/>
    <w:rsid w:val="0009429D"/>
    <w:rsid w:val="00094410"/>
    <w:rsid w:val="000944DB"/>
    <w:rsid w:val="00094EEA"/>
    <w:rsid w:val="0009501F"/>
    <w:rsid w:val="0009509B"/>
    <w:rsid w:val="00095BD8"/>
    <w:rsid w:val="00095D0D"/>
    <w:rsid w:val="00095D8D"/>
    <w:rsid w:val="00095EFC"/>
    <w:rsid w:val="00096030"/>
    <w:rsid w:val="00096165"/>
    <w:rsid w:val="00096C46"/>
    <w:rsid w:val="00096D79"/>
    <w:rsid w:val="000972AE"/>
    <w:rsid w:val="000972F3"/>
    <w:rsid w:val="0009782E"/>
    <w:rsid w:val="00097CE5"/>
    <w:rsid w:val="00097E9C"/>
    <w:rsid w:val="00097EEC"/>
    <w:rsid w:val="00097F3A"/>
    <w:rsid w:val="000A02A5"/>
    <w:rsid w:val="000A045A"/>
    <w:rsid w:val="000A0843"/>
    <w:rsid w:val="000A094E"/>
    <w:rsid w:val="000A0B97"/>
    <w:rsid w:val="000A0D97"/>
    <w:rsid w:val="000A10C7"/>
    <w:rsid w:val="000A117B"/>
    <w:rsid w:val="000A1B59"/>
    <w:rsid w:val="000A1B84"/>
    <w:rsid w:val="000A2941"/>
    <w:rsid w:val="000A2959"/>
    <w:rsid w:val="000A2A2E"/>
    <w:rsid w:val="000A2F25"/>
    <w:rsid w:val="000A32AD"/>
    <w:rsid w:val="000A3780"/>
    <w:rsid w:val="000A3866"/>
    <w:rsid w:val="000A3BB8"/>
    <w:rsid w:val="000A3FE5"/>
    <w:rsid w:val="000A415F"/>
    <w:rsid w:val="000A4701"/>
    <w:rsid w:val="000A4A5E"/>
    <w:rsid w:val="000A4BD1"/>
    <w:rsid w:val="000A53F7"/>
    <w:rsid w:val="000A56E6"/>
    <w:rsid w:val="000A5A7F"/>
    <w:rsid w:val="000A5C93"/>
    <w:rsid w:val="000A5DD5"/>
    <w:rsid w:val="000A5F5A"/>
    <w:rsid w:val="000A614D"/>
    <w:rsid w:val="000A65A1"/>
    <w:rsid w:val="000A6620"/>
    <w:rsid w:val="000A68D0"/>
    <w:rsid w:val="000A6C0D"/>
    <w:rsid w:val="000A711A"/>
    <w:rsid w:val="000A7203"/>
    <w:rsid w:val="000A7B77"/>
    <w:rsid w:val="000B00C8"/>
    <w:rsid w:val="000B010C"/>
    <w:rsid w:val="000B02D8"/>
    <w:rsid w:val="000B0420"/>
    <w:rsid w:val="000B0869"/>
    <w:rsid w:val="000B0AB6"/>
    <w:rsid w:val="000B0D00"/>
    <w:rsid w:val="000B0D21"/>
    <w:rsid w:val="000B1450"/>
    <w:rsid w:val="000B145A"/>
    <w:rsid w:val="000B1606"/>
    <w:rsid w:val="000B1AB1"/>
    <w:rsid w:val="000B1C6A"/>
    <w:rsid w:val="000B1D61"/>
    <w:rsid w:val="000B2073"/>
    <w:rsid w:val="000B21B8"/>
    <w:rsid w:val="000B23F0"/>
    <w:rsid w:val="000B2769"/>
    <w:rsid w:val="000B278C"/>
    <w:rsid w:val="000B2F93"/>
    <w:rsid w:val="000B302A"/>
    <w:rsid w:val="000B314E"/>
    <w:rsid w:val="000B37DE"/>
    <w:rsid w:val="000B3B3F"/>
    <w:rsid w:val="000B3C13"/>
    <w:rsid w:val="000B42AA"/>
    <w:rsid w:val="000B4589"/>
    <w:rsid w:val="000B498A"/>
    <w:rsid w:val="000B4C69"/>
    <w:rsid w:val="000B4F17"/>
    <w:rsid w:val="000B51E6"/>
    <w:rsid w:val="000B59C8"/>
    <w:rsid w:val="000B5BDA"/>
    <w:rsid w:val="000B5D3F"/>
    <w:rsid w:val="000B6A5F"/>
    <w:rsid w:val="000B6CEC"/>
    <w:rsid w:val="000B7060"/>
    <w:rsid w:val="000B755C"/>
    <w:rsid w:val="000B7EC6"/>
    <w:rsid w:val="000C093C"/>
    <w:rsid w:val="000C0986"/>
    <w:rsid w:val="000C0B3D"/>
    <w:rsid w:val="000C0B84"/>
    <w:rsid w:val="000C0E83"/>
    <w:rsid w:val="000C126E"/>
    <w:rsid w:val="000C158B"/>
    <w:rsid w:val="000C1C7A"/>
    <w:rsid w:val="000C1E4E"/>
    <w:rsid w:val="000C2391"/>
    <w:rsid w:val="000C2861"/>
    <w:rsid w:val="000C2C66"/>
    <w:rsid w:val="000C2D47"/>
    <w:rsid w:val="000C2D95"/>
    <w:rsid w:val="000C2DCA"/>
    <w:rsid w:val="000C2E28"/>
    <w:rsid w:val="000C2FB1"/>
    <w:rsid w:val="000C3304"/>
    <w:rsid w:val="000C347F"/>
    <w:rsid w:val="000C382F"/>
    <w:rsid w:val="000C3B24"/>
    <w:rsid w:val="000C3EB0"/>
    <w:rsid w:val="000C47CD"/>
    <w:rsid w:val="000C4A73"/>
    <w:rsid w:val="000C4CD0"/>
    <w:rsid w:val="000C562C"/>
    <w:rsid w:val="000C56DB"/>
    <w:rsid w:val="000C599D"/>
    <w:rsid w:val="000C5B47"/>
    <w:rsid w:val="000C5DB9"/>
    <w:rsid w:val="000C5E98"/>
    <w:rsid w:val="000C61C8"/>
    <w:rsid w:val="000C667D"/>
    <w:rsid w:val="000C6880"/>
    <w:rsid w:val="000C6C2D"/>
    <w:rsid w:val="000C6FDD"/>
    <w:rsid w:val="000C7465"/>
    <w:rsid w:val="000C76F3"/>
    <w:rsid w:val="000C7D0D"/>
    <w:rsid w:val="000C7D54"/>
    <w:rsid w:val="000D004A"/>
    <w:rsid w:val="000D0858"/>
    <w:rsid w:val="000D0897"/>
    <w:rsid w:val="000D0A56"/>
    <w:rsid w:val="000D0B8F"/>
    <w:rsid w:val="000D0E80"/>
    <w:rsid w:val="000D1459"/>
    <w:rsid w:val="000D1466"/>
    <w:rsid w:val="000D1608"/>
    <w:rsid w:val="000D170C"/>
    <w:rsid w:val="000D200B"/>
    <w:rsid w:val="000D20C4"/>
    <w:rsid w:val="000D2721"/>
    <w:rsid w:val="000D274F"/>
    <w:rsid w:val="000D2885"/>
    <w:rsid w:val="000D293D"/>
    <w:rsid w:val="000D2F2B"/>
    <w:rsid w:val="000D3871"/>
    <w:rsid w:val="000D387D"/>
    <w:rsid w:val="000D3F7A"/>
    <w:rsid w:val="000D41D7"/>
    <w:rsid w:val="000D45BC"/>
    <w:rsid w:val="000D4719"/>
    <w:rsid w:val="000D47E7"/>
    <w:rsid w:val="000D4D65"/>
    <w:rsid w:val="000D4DE2"/>
    <w:rsid w:val="000D4F97"/>
    <w:rsid w:val="000D5228"/>
    <w:rsid w:val="000D5284"/>
    <w:rsid w:val="000D56AB"/>
    <w:rsid w:val="000D5818"/>
    <w:rsid w:val="000D5912"/>
    <w:rsid w:val="000D5A73"/>
    <w:rsid w:val="000D5B44"/>
    <w:rsid w:val="000D5DED"/>
    <w:rsid w:val="000D5EB6"/>
    <w:rsid w:val="000D634B"/>
    <w:rsid w:val="000D693E"/>
    <w:rsid w:val="000D7365"/>
    <w:rsid w:val="000D7457"/>
    <w:rsid w:val="000D7644"/>
    <w:rsid w:val="000D7880"/>
    <w:rsid w:val="000D7FBC"/>
    <w:rsid w:val="000E02CC"/>
    <w:rsid w:val="000E04DC"/>
    <w:rsid w:val="000E0695"/>
    <w:rsid w:val="000E0C3E"/>
    <w:rsid w:val="000E0C3F"/>
    <w:rsid w:val="000E15F1"/>
    <w:rsid w:val="000E1644"/>
    <w:rsid w:val="000E18B2"/>
    <w:rsid w:val="000E195E"/>
    <w:rsid w:val="000E1D5C"/>
    <w:rsid w:val="000E1FC9"/>
    <w:rsid w:val="000E21A2"/>
    <w:rsid w:val="000E21BF"/>
    <w:rsid w:val="000E2242"/>
    <w:rsid w:val="000E27C2"/>
    <w:rsid w:val="000E2AFB"/>
    <w:rsid w:val="000E2E3C"/>
    <w:rsid w:val="000E2F09"/>
    <w:rsid w:val="000E2F9D"/>
    <w:rsid w:val="000E3681"/>
    <w:rsid w:val="000E36B5"/>
    <w:rsid w:val="000E37B3"/>
    <w:rsid w:val="000E3991"/>
    <w:rsid w:val="000E3C84"/>
    <w:rsid w:val="000E46A3"/>
    <w:rsid w:val="000E478A"/>
    <w:rsid w:val="000E4836"/>
    <w:rsid w:val="000E4B9B"/>
    <w:rsid w:val="000E4E63"/>
    <w:rsid w:val="000E4F8B"/>
    <w:rsid w:val="000E5385"/>
    <w:rsid w:val="000E5685"/>
    <w:rsid w:val="000E57FF"/>
    <w:rsid w:val="000E5A6F"/>
    <w:rsid w:val="000E5B53"/>
    <w:rsid w:val="000E67B4"/>
    <w:rsid w:val="000E6A01"/>
    <w:rsid w:val="000E6D0E"/>
    <w:rsid w:val="000E6E46"/>
    <w:rsid w:val="000E70BA"/>
    <w:rsid w:val="000E7142"/>
    <w:rsid w:val="000E727D"/>
    <w:rsid w:val="000E7492"/>
    <w:rsid w:val="000E7E38"/>
    <w:rsid w:val="000F0773"/>
    <w:rsid w:val="000F0C41"/>
    <w:rsid w:val="000F0D44"/>
    <w:rsid w:val="000F0E5A"/>
    <w:rsid w:val="000F101A"/>
    <w:rsid w:val="000F10CF"/>
    <w:rsid w:val="000F1179"/>
    <w:rsid w:val="000F156B"/>
    <w:rsid w:val="000F1A1F"/>
    <w:rsid w:val="000F1CDC"/>
    <w:rsid w:val="000F236A"/>
    <w:rsid w:val="000F2675"/>
    <w:rsid w:val="000F2AC3"/>
    <w:rsid w:val="000F2C2B"/>
    <w:rsid w:val="000F2F91"/>
    <w:rsid w:val="000F303C"/>
    <w:rsid w:val="000F357E"/>
    <w:rsid w:val="000F38FA"/>
    <w:rsid w:val="000F4132"/>
    <w:rsid w:val="000F4636"/>
    <w:rsid w:val="000F4AD7"/>
    <w:rsid w:val="000F5754"/>
    <w:rsid w:val="000F6096"/>
    <w:rsid w:val="000F6425"/>
    <w:rsid w:val="000F6690"/>
    <w:rsid w:val="000F671D"/>
    <w:rsid w:val="000F6C81"/>
    <w:rsid w:val="000F6E8F"/>
    <w:rsid w:val="000F7010"/>
    <w:rsid w:val="000F7063"/>
    <w:rsid w:val="000F74F2"/>
    <w:rsid w:val="000F7563"/>
    <w:rsid w:val="000F77B4"/>
    <w:rsid w:val="000F7940"/>
    <w:rsid w:val="001003E3"/>
    <w:rsid w:val="001004ED"/>
    <w:rsid w:val="001006C8"/>
    <w:rsid w:val="0010077B"/>
    <w:rsid w:val="00100AF9"/>
    <w:rsid w:val="00100E58"/>
    <w:rsid w:val="00100EE7"/>
    <w:rsid w:val="00101600"/>
    <w:rsid w:val="001017E2"/>
    <w:rsid w:val="00101AC1"/>
    <w:rsid w:val="00101CBD"/>
    <w:rsid w:val="00101DB9"/>
    <w:rsid w:val="001027BF"/>
    <w:rsid w:val="0010284D"/>
    <w:rsid w:val="00102B7E"/>
    <w:rsid w:val="00102DF2"/>
    <w:rsid w:val="00103037"/>
    <w:rsid w:val="00103249"/>
    <w:rsid w:val="00103453"/>
    <w:rsid w:val="00103655"/>
    <w:rsid w:val="00103B49"/>
    <w:rsid w:val="00103CD4"/>
    <w:rsid w:val="00103E62"/>
    <w:rsid w:val="0010400A"/>
    <w:rsid w:val="001041D1"/>
    <w:rsid w:val="0010426F"/>
    <w:rsid w:val="0010457B"/>
    <w:rsid w:val="001048C8"/>
    <w:rsid w:val="00104948"/>
    <w:rsid w:val="00104CA3"/>
    <w:rsid w:val="00105192"/>
    <w:rsid w:val="00105199"/>
    <w:rsid w:val="001055AB"/>
    <w:rsid w:val="001058DB"/>
    <w:rsid w:val="00105A2D"/>
    <w:rsid w:val="00105DD9"/>
    <w:rsid w:val="00106343"/>
    <w:rsid w:val="001067BE"/>
    <w:rsid w:val="00106D3B"/>
    <w:rsid w:val="00106F32"/>
    <w:rsid w:val="00106F34"/>
    <w:rsid w:val="00106F72"/>
    <w:rsid w:val="00107132"/>
    <w:rsid w:val="00107377"/>
    <w:rsid w:val="00107388"/>
    <w:rsid w:val="001073F7"/>
    <w:rsid w:val="001074FE"/>
    <w:rsid w:val="00107691"/>
    <w:rsid w:val="001077E9"/>
    <w:rsid w:val="00107EE4"/>
    <w:rsid w:val="00107F9B"/>
    <w:rsid w:val="00110984"/>
    <w:rsid w:val="00110A57"/>
    <w:rsid w:val="00110C10"/>
    <w:rsid w:val="00110CE2"/>
    <w:rsid w:val="00110DBE"/>
    <w:rsid w:val="00111539"/>
    <w:rsid w:val="0011205C"/>
    <w:rsid w:val="001121DF"/>
    <w:rsid w:val="00112995"/>
    <w:rsid w:val="001129AA"/>
    <w:rsid w:val="00112E91"/>
    <w:rsid w:val="00112EC6"/>
    <w:rsid w:val="001135AB"/>
    <w:rsid w:val="00113664"/>
    <w:rsid w:val="001139BE"/>
    <w:rsid w:val="00113ADB"/>
    <w:rsid w:val="00113CA5"/>
    <w:rsid w:val="00113CEF"/>
    <w:rsid w:val="00114173"/>
    <w:rsid w:val="00114547"/>
    <w:rsid w:val="00114A89"/>
    <w:rsid w:val="00114BEA"/>
    <w:rsid w:val="00114C38"/>
    <w:rsid w:val="00114CAE"/>
    <w:rsid w:val="00114D53"/>
    <w:rsid w:val="00114EE2"/>
    <w:rsid w:val="00115001"/>
    <w:rsid w:val="0011572E"/>
    <w:rsid w:val="00115777"/>
    <w:rsid w:val="0011604B"/>
    <w:rsid w:val="00116150"/>
    <w:rsid w:val="001166BF"/>
    <w:rsid w:val="0011671A"/>
    <w:rsid w:val="00116FF4"/>
    <w:rsid w:val="00117079"/>
    <w:rsid w:val="0011723E"/>
    <w:rsid w:val="001173CD"/>
    <w:rsid w:val="00117488"/>
    <w:rsid w:val="00120129"/>
    <w:rsid w:val="00120132"/>
    <w:rsid w:val="00120422"/>
    <w:rsid w:val="00120453"/>
    <w:rsid w:val="00120675"/>
    <w:rsid w:val="0012083B"/>
    <w:rsid w:val="00120A34"/>
    <w:rsid w:val="00120D19"/>
    <w:rsid w:val="00120D64"/>
    <w:rsid w:val="00121415"/>
    <w:rsid w:val="00121490"/>
    <w:rsid w:val="00121552"/>
    <w:rsid w:val="001216D9"/>
    <w:rsid w:val="00121856"/>
    <w:rsid w:val="00121C2F"/>
    <w:rsid w:val="00121EA4"/>
    <w:rsid w:val="00121F64"/>
    <w:rsid w:val="00122311"/>
    <w:rsid w:val="001223D9"/>
    <w:rsid w:val="00122972"/>
    <w:rsid w:val="001229FE"/>
    <w:rsid w:val="00123CEB"/>
    <w:rsid w:val="00123F5A"/>
    <w:rsid w:val="0012440C"/>
    <w:rsid w:val="00124546"/>
    <w:rsid w:val="00124D25"/>
    <w:rsid w:val="00124EA1"/>
    <w:rsid w:val="001258F4"/>
    <w:rsid w:val="00125CB6"/>
    <w:rsid w:val="00125EE3"/>
    <w:rsid w:val="0012626B"/>
    <w:rsid w:val="001264E3"/>
    <w:rsid w:val="001266DF"/>
    <w:rsid w:val="00126C16"/>
    <w:rsid w:val="0012700A"/>
    <w:rsid w:val="001275A5"/>
    <w:rsid w:val="00127601"/>
    <w:rsid w:val="00127671"/>
    <w:rsid w:val="00127DEE"/>
    <w:rsid w:val="00127E60"/>
    <w:rsid w:val="001300AD"/>
    <w:rsid w:val="00130286"/>
    <w:rsid w:val="001307DE"/>
    <w:rsid w:val="0013097C"/>
    <w:rsid w:val="00130EDB"/>
    <w:rsid w:val="00130F38"/>
    <w:rsid w:val="00131017"/>
    <w:rsid w:val="00131055"/>
    <w:rsid w:val="001314D4"/>
    <w:rsid w:val="00131990"/>
    <w:rsid w:val="0013237E"/>
    <w:rsid w:val="001328CA"/>
    <w:rsid w:val="00132C18"/>
    <w:rsid w:val="00132C9D"/>
    <w:rsid w:val="00132F9C"/>
    <w:rsid w:val="001334F0"/>
    <w:rsid w:val="00133F17"/>
    <w:rsid w:val="001347B6"/>
    <w:rsid w:val="00134827"/>
    <w:rsid w:val="00134B62"/>
    <w:rsid w:val="001359C4"/>
    <w:rsid w:val="00135E71"/>
    <w:rsid w:val="00135F19"/>
    <w:rsid w:val="00135F40"/>
    <w:rsid w:val="0013614D"/>
    <w:rsid w:val="001365F6"/>
    <w:rsid w:val="00136BBB"/>
    <w:rsid w:val="00136F53"/>
    <w:rsid w:val="00137120"/>
    <w:rsid w:val="00137884"/>
    <w:rsid w:val="00137AF8"/>
    <w:rsid w:val="00137D44"/>
    <w:rsid w:val="00137DE2"/>
    <w:rsid w:val="00137FA2"/>
    <w:rsid w:val="001400FA"/>
    <w:rsid w:val="00140DD9"/>
    <w:rsid w:val="001410CF"/>
    <w:rsid w:val="00141664"/>
    <w:rsid w:val="00141791"/>
    <w:rsid w:val="00141BE7"/>
    <w:rsid w:val="00141CF5"/>
    <w:rsid w:val="00141E16"/>
    <w:rsid w:val="0014236B"/>
    <w:rsid w:val="001425ED"/>
    <w:rsid w:val="0014270F"/>
    <w:rsid w:val="001431DF"/>
    <w:rsid w:val="001434C8"/>
    <w:rsid w:val="00143818"/>
    <w:rsid w:val="00143898"/>
    <w:rsid w:val="00143A34"/>
    <w:rsid w:val="00143C44"/>
    <w:rsid w:val="00143EC8"/>
    <w:rsid w:val="00143ED8"/>
    <w:rsid w:val="00144415"/>
    <w:rsid w:val="00144537"/>
    <w:rsid w:val="00144B51"/>
    <w:rsid w:val="001451EB"/>
    <w:rsid w:val="00145280"/>
    <w:rsid w:val="00145C9B"/>
    <w:rsid w:val="00145F4B"/>
    <w:rsid w:val="001464EE"/>
    <w:rsid w:val="00146545"/>
    <w:rsid w:val="00146827"/>
    <w:rsid w:val="00146A9C"/>
    <w:rsid w:val="00146D4C"/>
    <w:rsid w:val="00146D4F"/>
    <w:rsid w:val="0014707B"/>
    <w:rsid w:val="0014720B"/>
    <w:rsid w:val="001479F2"/>
    <w:rsid w:val="00147E42"/>
    <w:rsid w:val="00147FF0"/>
    <w:rsid w:val="0015004C"/>
    <w:rsid w:val="0015021C"/>
    <w:rsid w:val="00150320"/>
    <w:rsid w:val="001505E1"/>
    <w:rsid w:val="00150797"/>
    <w:rsid w:val="00150A38"/>
    <w:rsid w:val="00150A8E"/>
    <w:rsid w:val="00150B4E"/>
    <w:rsid w:val="00150C4D"/>
    <w:rsid w:val="00151B13"/>
    <w:rsid w:val="001529A4"/>
    <w:rsid w:val="001529B9"/>
    <w:rsid w:val="00152E86"/>
    <w:rsid w:val="00152F9A"/>
    <w:rsid w:val="00152FF0"/>
    <w:rsid w:val="0015306A"/>
    <w:rsid w:val="001530C7"/>
    <w:rsid w:val="001537C4"/>
    <w:rsid w:val="00153B26"/>
    <w:rsid w:val="0015430B"/>
    <w:rsid w:val="001548FE"/>
    <w:rsid w:val="00154A45"/>
    <w:rsid w:val="001553A8"/>
    <w:rsid w:val="00155A2E"/>
    <w:rsid w:val="00155E3B"/>
    <w:rsid w:val="001563CE"/>
    <w:rsid w:val="00156762"/>
    <w:rsid w:val="001568E1"/>
    <w:rsid w:val="0015692C"/>
    <w:rsid w:val="00156A7A"/>
    <w:rsid w:val="00156C9A"/>
    <w:rsid w:val="00156CE5"/>
    <w:rsid w:val="001570AF"/>
    <w:rsid w:val="001573B3"/>
    <w:rsid w:val="001573F1"/>
    <w:rsid w:val="001575A5"/>
    <w:rsid w:val="0015786E"/>
    <w:rsid w:val="0016030D"/>
    <w:rsid w:val="00160558"/>
    <w:rsid w:val="0016067A"/>
    <w:rsid w:val="0016128E"/>
    <w:rsid w:val="00161378"/>
    <w:rsid w:val="00161886"/>
    <w:rsid w:val="00161D6F"/>
    <w:rsid w:val="00161EEF"/>
    <w:rsid w:val="0016210D"/>
    <w:rsid w:val="001621F2"/>
    <w:rsid w:val="00162408"/>
    <w:rsid w:val="00162B11"/>
    <w:rsid w:val="00162D66"/>
    <w:rsid w:val="00163097"/>
    <w:rsid w:val="0016315F"/>
    <w:rsid w:val="001635A6"/>
    <w:rsid w:val="00163A90"/>
    <w:rsid w:val="00163D73"/>
    <w:rsid w:val="0016442D"/>
    <w:rsid w:val="00164520"/>
    <w:rsid w:val="0016461A"/>
    <w:rsid w:val="00164A2F"/>
    <w:rsid w:val="00165B99"/>
    <w:rsid w:val="00165F8D"/>
    <w:rsid w:val="00165F90"/>
    <w:rsid w:val="00166350"/>
    <w:rsid w:val="001664D7"/>
    <w:rsid w:val="001665BE"/>
    <w:rsid w:val="0016666E"/>
    <w:rsid w:val="00166A19"/>
    <w:rsid w:val="00166B2A"/>
    <w:rsid w:val="00166B30"/>
    <w:rsid w:val="00167076"/>
    <w:rsid w:val="0016766D"/>
    <w:rsid w:val="0016781E"/>
    <w:rsid w:val="00167A0A"/>
    <w:rsid w:val="00167D46"/>
    <w:rsid w:val="00167EE4"/>
    <w:rsid w:val="00170129"/>
    <w:rsid w:val="00170738"/>
    <w:rsid w:val="001709D6"/>
    <w:rsid w:val="00170AD4"/>
    <w:rsid w:val="00170F61"/>
    <w:rsid w:val="00171036"/>
    <w:rsid w:val="00171236"/>
    <w:rsid w:val="00171303"/>
    <w:rsid w:val="00171579"/>
    <w:rsid w:val="00171A6C"/>
    <w:rsid w:val="00171A84"/>
    <w:rsid w:val="00171F0B"/>
    <w:rsid w:val="001721AD"/>
    <w:rsid w:val="001725DA"/>
    <w:rsid w:val="001727D8"/>
    <w:rsid w:val="0017292D"/>
    <w:rsid w:val="00172CC5"/>
    <w:rsid w:val="00172D20"/>
    <w:rsid w:val="001731E8"/>
    <w:rsid w:val="0017352E"/>
    <w:rsid w:val="0017363B"/>
    <w:rsid w:val="0017364A"/>
    <w:rsid w:val="00173A63"/>
    <w:rsid w:val="00173BD4"/>
    <w:rsid w:val="00173D31"/>
    <w:rsid w:val="00173E71"/>
    <w:rsid w:val="00174151"/>
    <w:rsid w:val="0017424C"/>
    <w:rsid w:val="001744D0"/>
    <w:rsid w:val="001745FB"/>
    <w:rsid w:val="00174830"/>
    <w:rsid w:val="0017486E"/>
    <w:rsid w:val="001749CB"/>
    <w:rsid w:val="00174B2D"/>
    <w:rsid w:val="00174F53"/>
    <w:rsid w:val="00175616"/>
    <w:rsid w:val="00175D56"/>
    <w:rsid w:val="00175F03"/>
    <w:rsid w:val="0017615C"/>
    <w:rsid w:val="00176322"/>
    <w:rsid w:val="001767A4"/>
    <w:rsid w:val="00176ECF"/>
    <w:rsid w:val="00177753"/>
    <w:rsid w:val="00177B8D"/>
    <w:rsid w:val="00177EBB"/>
    <w:rsid w:val="0018024C"/>
    <w:rsid w:val="001804D1"/>
    <w:rsid w:val="00180804"/>
    <w:rsid w:val="00180FEF"/>
    <w:rsid w:val="0018145A"/>
    <w:rsid w:val="0018162B"/>
    <w:rsid w:val="00181C7A"/>
    <w:rsid w:val="00181F2F"/>
    <w:rsid w:val="00182219"/>
    <w:rsid w:val="001824CD"/>
    <w:rsid w:val="00182585"/>
    <w:rsid w:val="00182779"/>
    <w:rsid w:val="00182E98"/>
    <w:rsid w:val="00182EA5"/>
    <w:rsid w:val="00183070"/>
    <w:rsid w:val="0018314C"/>
    <w:rsid w:val="001835DD"/>
    <w:rsid w:val="00184168"/>
    <w:rsid w:val="0018434A"/>
    <w:rsid w:val="00184372"/>
    <w:rsid w:val="00184572"/>
    <w:rsid w:val="001849C2"/>
    <w:rsid w:val="0018511C"/>
    <w:rsid w:val="0018562D"/>
    <w:rsid w:val="00185672"/>
    <w:rsid w:val="00185B4B"/>
    <w:rsid w:val="00185ECE"/>
    <w:rsid w:val="00186196"/>
    <w:rsid w:val="00186360"/>
    <w:rsid w:val="001863BE"/>
    <w:rsid w:val="00186738"/>
    <w:rsid w:val="001867A3"/>
    <w:rsid w:val="00186CBE"/>
    <w:rsid w:val="00186E86"/>
    <w:rsid w:val="00186E87"/>
    <w:rsid w:val="001870C9"/>
    <w:rsid w:val="00187705"/>
    <w:rsid w:val="00187A84"/>
    <w:rsid w:val="00187D4D"/>
    <w:rsid w:val="00190109"/>
    <w:rsid w:val="001903F7"/>
    <w:rsid w:val="00191476"/>
    <w:rsid w:val="00192040"/>
    <w:rsid w:val="00192060"/>
    <w:rsid w:val="001921DC"/>
    <w:rsid w:val="00192412"/>
    <w:rsid w:val="00192528"/>
    <w:rsid w:val="001926B7"/>
    <w:rsid w:val="00192897"/>
    <w:rsid w:val="00192B58"/>
    <w:rsid w:val="00192BBB"/>
    <w:rsid w:val="00192D29"/>
    <w:rsid w:val="00192D7D"/>
    <w:rsid w:val="00192E7D"/>
    <w:rsid w:val="00192E90"/>
    <w:rsid w:val="00192FC4"/>
    <w:rsid w:val="0019326D"/>
    <w:rsid w:val="00193C26"/>
    <w:rsid w:val="00194508"/>
    <w:rsid w:val="001947BC"/>
    <w:rsid w:val="0019480A"/>
    <w:rsid w:val="0019491A"/>
    <w:rsid w:val="00194C70"/>
    <w:rsid w:val="00195332"/>
    <w:rsid w:val="001959AD"/>
    <w:rsid w:val="001959BA"/>
    <w:rsid w:val="00195C36"/>
    <w:rsid w:val="001960EC"/>
    <w:rsid w:val="001961F5"/>
    <w:rsid w:val="00196B60"/>
    <w:rsid w:val="00197320"/>
    <w:rsid w:val="00197669"/>
    <w:rsid w:val="00197AC2"/>
    <w:rsid w:val="001A0464"/>
    <w:rsid w:val="001A0562"/>
    <w:rsid w:val="001A077E"/>
    <w:rsid w:val="001A0D80"/>
    <w:rsid w:val="001A11DC"/>
    <w:rsid w:val="001A1347"/>
    <w:rsid w:val="001A160B"/>
    <w:rsid w:val="001A17AA"/>
    <w:rsid w:val="001A17EB"/>
    <w:rsid w:val="001A1847"/>
    <w:rsid w:val="001A1C43"/>
    <w:rsid w:val="001A1F1C"/>
    <w:rsid w:val="001A22F3"/>
    <w:rsid w:val="001A2445"/>
    <w:rsid w:val="001A2838"/>
    <w:rsid w:val="001A2F96"/>
    <w:rsid w:val="001A3064"/>
    <w:rsid w:val="001A3589"/>
    <w:rsid w:val="001A37CE"/>
    <w:rsid w:val="001A38F7"/>
    <w:rsid w:val="001A3C84"/>
    <w:rsid w:val="001A3DCA"/>
    <w:rsid w:val="001A4036"/>
    <w:rsid w:val="001A413A"/>
    <w:rsid w:val="001A4A62"/>
    <w:rsid w:val="001A51E1"/>
    <w:rsid w:val="001A601C"/>
    <w:rsid w:val="001A666A"/>
    <w:rsid w:val="001A69E4"/>
    <w:rsid w:val="001A6B59"/>
    <w:rsid w:val="001A6D61"/>
    <w:rsid w:val="001A6F62"/>
    <w:rsid w:val="001A7278"/>
    <w:rsid w:val="001A732A"/>
    <w:rsid w:val="001A741C"/>
    <w:rsid w:val="001A7707"/>
    <w:rsid w:val="001A777F"/>
    <w:rsid w:val="001A7B9E"/>
    <w:rsid w:val="001A7F28"/>
    <w:rsid w:val="001B01E5"/>
    <w:rsid w:val="001B04EE"/>
    <w:rsid w:val="001B061E"/>
    <w:rsid w:val="001B17E9"/>
    <w:rsid w:val="001B1872"/>
    <w:rsid w:val="001B1C35"/>
    <w:rsid w:val="001B1D2B"/>
    <w:rsid w:val="001B2027"/>
    <w:rsid w:val="001B220B"/>
    <w:rsid w:val="001B270D"/>
    <w:rsid w:val="001B29C8"/>
    <w:rsid w:val="001B2B61"/>
    <w:rsid w:val="001B2BDC"/>
    <w:rsid w:val="001B3035"/>
    <w:rsid w:val="001B3054"/>
    <w:rsid w:val="001B3727"/>
    <w:rsid w:val="001B3BDA"/>
    <w:rsid w:val="001B4269"/>
    <w:rsid w:val="001B48D4"/>
    <w:rsid w:val="001B4AAA"/>
    <w:rsid w:val="001B4B76"/>
    <w:rsid w:val="001B4E3C"/>
    <w:rsid w:val="001B4FAF"/>
    <w:rsid w:val="001B5322"/>
    <w:rsid w:val="001B54F3"/>
    <w:rsid w:val="001B568B"/>
    <w:rsid w:val="001B58AD"/>
    <w:rsid w:val="001B5982"/>
    <w:rsid w:val="001B5D99"/>
    <w:rsid w:val="001B5F7B"/>
    <w:rsid w:val="001B6317"/>
    <w:rsid w:val="001B6399"/>
    <w:rsid w:val="001B63E5"/>
    <w:rsid w:val="001B67FD"/>
    <w:rsid w:val="001B6ECE"/>
    <w:rsid w:val="001B73FD"/>
    <w:rsid w:val="001B7653"/>
    <w:rsid w:val="001B79A3"/>
    <w:rsid w:val="001C0040"/>
    <w:rsid w:val="001C038B"/>
    <w:rsid w:val="001C038C"/>
    <w:rsid w:val="001C04D4"/>
    <w:rsid w:val="001C05A5"/>
    <w:rsid w:val="001C0774"/>
    <w:rsid w:val="001C08B4"/>
    <w:rsid w:val="001C09DC"/>
    <w:rsid w:val="001C0A1C"/>
    <w:rsid w:val="001C0C6F"/>
    <w:rsid w:val="001C0C89"/>
    <w:rsid w:val="001C0E05"/>
    <w:rsid w:val="001C15E7"/>
    <w:rsid w:val="001C188B"/>
    <w:rsid w:val="001C1BA1"/>
    <w:rsid w:val="001C1E47"/>
    <w:rsid w:val="001C22E3"/>
    <w:rsid w:val="001C2DCF"/>
    <w:rsid w:val="001C33E4"/>
    <w:rsid w:val="001C34DA"/>
    <w:rsid w:val="001C36F7"/>
    <w:rsid w:val="001C3ADA"/>
    <w:rsid w:val="001C3C73"/>
    <w:rsid w:val="001C3E36"/>
    <w:rsid w:val="001C3F14"/>
    <w:rsid w:val="001C3F25"/>
    <w:rsid w:val="001C3F26"/>
    <w:rsid w:val="001C3F7F"/>
    <w:rsid w:val="001C4010"/>
    <w:rsid w:val="001C41EE"/>
    <w:rsid w:val="001C4A6F"/>
    <w:rsid w:val="001C4BC6"/>
    <w:rsid w:val="001C4D50"/>
    <w:rsid w:val="001C5299"/>
    <w:rsid w:val="001C5BB0"/>
    <w:rsid w:val="001C5DA1"/>
    <w:rsid w:val="001C5F19"/>
    <w:rsid w:val="001C6282"/>
    <w:rsid w:val="001C68D3"/>
    <w:rsid w:val="001C6B56"/>
    <w:rsid w:val="001C6BBD"/>
    <w:rsid w:val="001C6D19"/>
    <w:rsid w:val="001C6F08"/>
    <w:rsid w:val="001C713B"/>
    <w:rsid w:val="001C71FB"/>
    <w:rsid w:val="001C74C9"/>
    <w:rsid w:val="001C753E"/>
    <w:rsid w:val="001C799A"/>
    <w:rsid w:val="001C79CB"/>
    <w:rsid w:val="001C7E78"/>
    <w:rsid w:val="001D0014"/>
    <w:rsid w:val="001D0193"/>
    <w:rsid w:val="001D03BC"/>
    <w:rsid w:val="001D04B4"/>
    <w:rsid w:val="001D04E0"/>
    <w:rsid w:val="001D1172"/>
    <w:rsid w:val="001D12AE"/>
    <w:rsid w:val="001D1383"/>
    <w:rsid w:val="001D1437"/>
    <w:rsid w:val="001D183A"/>
    <w:rsid w:val="001D19C1"/>
    <w:rsid w:val="001D1A55"/>
    <w:rsid w:val="001D254A"/>
    <w:rsid w:val="001D2E22"/>
    <w:rsid w:val="001D3132"/>
    <w:rsid w:val="001D350E"/>
    <w:rsid w:val="001D36FB"/>
    <w:rsid w:val="001D3B12"/>
    <w:rsid w:val="001D3C97"/>
    <w:rsid w:val="001D3F05"/>
    <w:rsid w:val="001D3FF7"/>
    <w:rsid w:val="001D42B7"/>
    <w:rsid w:val="001D4833"/>
    <w:rsid w:val="001D4AD6"/>
    <w:rsid w:val="001D4BEF"/>
    <w:rsid w:val="001D4C9D"/>
    <w:rsid w:val="001D4CCF"/>
    <w:rsid w:val="001D5173"/>
    <w:rsid w:val="001D54B9"/>
    <w:rsid w:val="001D565E"/>
    <w:rsid w:val="001D580A"/>
    <w:rsid w:val="001D599F"/>
    <w:rsid w:val="001D5D48"/>
    <w:rsid w:val="001D5DAC"/>
    <w:rsid w:val="001D623D"/>
    <w:rsid w:val="001D63E5"/>
    <w:rsid w:val="001D67D3"/>
    <w:rsid w:val="001D6BF3"/>
    <w:rsid w:val="001D6C3D"/>
    <w:rsid w:val="001D6FC1"/>
    <w:rsid w:val="001D7388"/>
    <w:rsid w:val="001D79C4"/>
    <w:rsid w:val="001D7C9A"/>
    <w:rsid w:val="001D7CE4"/>
    <w:rsid w:val="001E0052"/>
    <w:rsid w:val="001E045F"/>
    <w:rsid w:val="001E0700"/>
    <w:rsid w:val="001E07B9"/>
    <w:rsid w:val="001E0A52"/>
    <w:rsid w:val="001E0AD1"/>
    <w:rsid w:val="001E0F3E"/>
    <w:rsid w:val="001E10E4"/>
    <w:rsid w:val="001E12C6"/>
    <w:rsid w:val="001E1327"/>
    <w:rsid w:val="001E139A"/>
    <w:rsid w:val="001E148B"/>
    <w:rsid w:val="001E2884"/>
    <w:rsid w:val="001E2C99"/>
    <w:rsid w:val="001E2FE9"/>
    <w:rsid w:val="001E3064"/>
    <w:rsid w:val="001E33E7"/>
    <w:rsid w:val="001E3BDC"/>
    <w:rsid w:val="001E3D67"/>
    <w:rsid w:val="001E42BE"/>
    <w:rsid w:val="001E431B"/>
    <w:rsid w:val="001E46FF"/>
    <w:rsid w:val="001E498D"/>
    <w:rsid w:val="001E4D93"/>
    <w:rsid w:val="001E5027"/>
    <w:rsid w:val="001E5143"/>
    <w:rsid w:val="001E54A3"/>
    <w:rsid w:val="001E5673"/>
    <w:rsid w:val="001E5741"/>
    <w:rsid w:val="001E5833"/>
    <w:rsid w:val="001E5CDC"/>
    <w:rsid w:val="001E6002"/>
    <w:rsid w:val="001E60F0"/>
    <w:rsid w:val="001E6132"/>
    <w:rsid w:val="001E6163"/>
    <w:rsid w:val="001E6603"/>
    <w:rsid w:val="001E6934"/>
    <w:rsid w:val="001E6948"/>
    <w:rsid w:val="001E7299"/>
    <w:rsid w:val="001E730B"/>
    <w:rsid w:val="001E7654"/>
    <w:rsid w:val="001E76A5"/>
    <w:rsid w:val="001E7C6B"/>
    <w:rsid w:val="001E7F41"/>
    <w:rsid w:val="001F0266"/>
    <w:rsid w:val="001F07CF"/>
    <w:rsid w:val="001F09BB"/>
    <w:rsid w:val="001F0E0B"/>
    <w:rsid w:val="001F1031"/>
    <w:rsid w:val="001F113E"/>
    <w:rsid w:val="001F1ABE"/>
    <w:rsid w:val="001F1F7A"/>
    <w:rsid w:val="001F1F9A"/>
    <w:rsid w:val="001F22A4"/>
    <w:rsid w:val="001F2435"/>
    <w:rsid w:val="001F2558"/>
    <w:rsid w:val="001F2BF1"/>
    <w:rsid w:val="001F2F09"/>
    <w:rsid w:val="001F340C"/>
    <w:rsid w:val="001F36CC"/>
    <w:rsid w:val="001F38F8"/>
    <w:rsid w:val="001F3A14"/>
    <w:rsid w:val="001F3F2A"/>
    <w:rsid w:val="001F4528"/>
    <w:rsid w:val="001F48D5"/>
    <w:rsid w:val="001F4B0C"/>
    <w:rsid w:val="001F4D9B"/>
    <w:rsid w:val="001F512F"/>
    <w:rsid w:val="001F51F4"/>
    <w:rsid w:val="001F52D6"/>
    <w:rsid w:val="001F5717"/>
    <w:rsid w:val="001F6324"/>
    <w:rsid w:val="001F6BD5"/>
    <w:rsid w:val="001F6C05"/>
    <w:rsid w:val="001F6C74"/>
    <w:rsid w:val="001F6FFA"/>
    <w:rsid w:val="001F71B7"/>
    <w:rsid w:val="001F7332"/>
    <w:rsid w:val="001F7353"/>
    <w:rsid w:val="001F75D5"/>
    <w:rsid w:val="001F76B4"/>
    <w:rsid w:val="001F7994"/>
    <w:rsid w:val="00200147"/>
    <w:rsid w:val="00200399"/>
    <w:rsid w:val="00200710"/>
    <w:rsid w:val="00200797"/>
    <w:rsid w:val="002008F3"/>
    <w:rsid w:val="00200910"/>
    <w:rsid w:val="00200C3C"/>
    <w:rsid w:val="00201751"/>
    <w:rsid w:val="002022BF"/>
    <w:rsid w:val="00202998"/>
    <w:rsid w:val="00202EE3"/>
    <w:rsid w:val="002036A6"/>
    <w:rsid w:val="0020450B"/>
    <w:rsid w:val="00204708"/>
    <w:rsid w:val="00204724"/>
    <w:rsid w:val="00204740"/>
    <w:rsid w:val="00204AE2"/>
    <w:rsid w:val="00204D3F"/>
    <w:rsid w:val="00204FF9"/>
    <w:rsid w:val="002052A7"/>
    <w:rsid w:val="002053E9"/>
    <w:rsid w:val="002059F4"/>
    <w:rsid w:val="00205B50"/>
    <w:rsid w:val="00205CAD"/>
    <w:rsid w:val="00205D76"/>
    <w:rsid w:val="00205D85"/>
    <w:rsid w:val="00205F78"/>
    <w:rsid w:val="002069CC"/>
    <w:rsid w:val="00206CCD"/>
    <w:rsid w:val="00206FF6"/>
    <w:rsid w:val="00207B6A"/>
    <w:rsid w:val="00207D07"/>
    <w:rsid w:val="00207DF7"/>
    <w:rsid w:val="00207E97"/>
    <w:rsid w:val="00207F3F"/>
    <w:rsid w:val="002102BA"/>
    <w:rsid w:val="002102D3"/>
    <w:rsid w:val="002103C8"/>
    <w:rsid w:val="002104B3"/>
    <w:rsid w:val="00210984"/>
    <w:rsid w:val="002109BA"/>
    <w:rsid w:val="00210B12"/>
    <w:rsid w:val="00211067"/>
    <w:rsid w:val="002113E6"/>
    <w:rsid w:val="002117A3"/>
    <w:rsid w:val="00212085"/>
    <w:rsid w:val="00212086"/>
    <w:rsid w:val="00212364"/>
    <w:rsid w:val="002128AF"/>
    <w:rsid w:val="00212F44"/>
    <w:rsid w:val="00213303"/>
    <w:rsid w:val="00213727"/>
    <w:rsid w:val="00213F56"/>
    <w:rsid w:val="00213FDB"/>
    <w:rsid w:val="0021463C"/>
    <w:rsid w:val="00214829"/>
    <w:rsid w:val="00214978"/>
    <w:rsid w:val="002152E2"/>
    <w:rsid w:val="002152EF"/>
    <w:rsid w:val="002154E7"/>
    <w:rsid w:val="002157BE"/>
    <w:rsid w:val="0021585A"/>
    <w:rsid w:val="00215BE5"/>
    <w:rsid w:val="00215DE7"/>
    <w:rsid w:val="0021656D"/>
    <w:rsid w:val="002167FC"/>
    <w:rsid w:val="00217418"/>
    <w:rsid w:val="002177DC"/>
    <w:rsid w:val="00217923"/>
    <w:rsid w:val="00217945"/>
    <w:rsid w:val="00220735"/>
    <w:rsid w:val="002207A0"/>
    <w:rsid w:val="002208A6"/>
    <w:rsid w:val="00220BC4"/>
    <w:rsid w:val="00220DFD"/>
    <w:rsid w:val="00220E5F"/>
    <w:rsid w:val="00220FD8"/>
    <w:rsid w:val="0022130D"/>
    <w:rsid w:val="00221534"/>
    <w:rsid w:val="0022183F"/>
    <w:rsid w:val="00221E55"/>
    <w:rsid w:val="002228E1"/>
    <w:rsid w:val="00222CC5"/>
    <w:rsid w:val="00222D29"/>
    <w:rsid w:val="00223141"/>
    <w:rsid w:val="00223744"/>
    <w:rsid w:val="00223758"/>
    <w:rsid w:val="002238E2"/>
    <w:rsid w:val="002241B8"/>
    <w:rsid w:val="00224267"/>
    <w:rsid w:val="00224756"/>
    <w:rsid w:val="002248EF"/>
    <w:rsid w:val="00224E1A"/>
    <w:rsid w:val="002253F6"/>
    <w:rsid w:val="002254AD"/>
    <w:rsid w:val="00225640"/>
    <w:rsid w:val="00226071"/>
    <w:rsid w:val="002263EE"/>
    <w:rsid w:val="00226431"/>
    <w:rsid w:val="002269E7"/>
    <w:rsid w:val="002269EC"/>
    <w:rsid w:val="00226C24"/>
    <w:rsid w:val="00226E06"/>
    <w:rsid w:val="00226E18"/>
    <w:rsid w:val="00227264"/>
    <w:rsid w:val="002274F9"/>
    <w:rsid w:val="002306D8"/>
    <w:rsid w:val="00230FFB"/>
    <w:rsid w:val="00231484"/>
    <w:rsid w:val="002314FF"/>
    <w:rsid w:val="002315D6"/>
    <w:rsid w:val="0023162A"/>
    <w:rsid w:val="00231946"/>
    <w:rsid w:val="002322F5"/>
    <w:rsid w:val="00232534"/>
    <w:rsid w:val="0023293E"/>
    <w:rsid w:val="002329F7"/>
    <w:rsid w:val="00232C0C"/>
    <w:rsid w:val="00232C45"/>
    <w:rsid w:val="0023380E"/>
    <w:rsid w:val="00233BD4"/>
    <w:rsid w:val="00233DE0"/>
    <w:rsid w:val="00233E93"/>
    <w:rsid w:val="00234273"/>
    <w:rsid w:val="0023455F"/>
    <w:rsid w:val="00234808"/>
    <w:rsid w:val="00234CCD"/>
    <w:rsid w:val="00234DB6"/>
    <w:rsid w:val="00234DD8"/>
    <w:rsid w:val="00234EFF"/>
    <w:rsid w:val="002350FE"/>
    <w:rsid w:val="00235C89"/>
    <w:rsid w:val="00236166"/>
    <w:rsid w:val="002368D7"/>
    <w:rsid w:val="002368FC"/>
    <w:rsid w:val="00236BE4"/>
    <w:rsid w:val="00236D82"/>
    <w:rsid w:val="00236D88"/>
    <w:rsid w:val="002370E2"/>
    <w:rsid w:val="00237363"/>
    <w:rsid w:val="00237C18"/>
    <w:rsid w:val="00237F77"/>
    <w:rsid w:val="00237FCF"/>
    <w:rsid w:val="00240112"/>
    <w:rsid w:val="00240B38"/>
    <w:rsid w:val="00240BD0"/>
    <w:rsid w:val="00240D76"/>
    <w:rsid w:val="002413A5"/>
    <w:rsid w:val="00241674"/>
    <w:rsid w:val="00241752"/>
    <w:rsid w:val="00241904"/>
    <w:rsid w:val="00241BD5"/>
    <w:rsid w:val="00241DC4"/>
    <w:rsid w:val="00241E56"/>
    <w:rsid w:val="00242845"/>
    <w:rsid w:val="00242D03"/>
    <w:rsid w:val="002432FE"/>
    <w:rsid w:val="002433B3"/>
    <w:rsid w:val="002435C9"/>
    <w:rsid w:val="0024364E"/>
    <w:rsid w:val="00243C8D"/>
    <w:rsid w:val="002440F0"/>
    <w:rsid w:val="002440FF"/>
    <w:rsid w:val="00244BE1"/>
    <w:rsid w:val="00244C76"/>
    <w:rsid w:val="00244EA5"/>
    <w:rsid w:val="002452AD"/>
    <w:rsid w:val="00245321"/>
    <w:rsid w:val="002458BD"/>
    <w:rsid w:val="00245DD9"/>
    <w:rsid w:val="00245DE7"/>
    <w:rsid w:val="00245E2F"/>
    <w:rsid w:val="00245F19"/>
    <w:rsid w:val="002460D0"/>
    <w:rsid w:val="00246ACF"/>
    <w:rsid w:val="00246F29"/>
    <w:rsid w:val="00247948"/>
    <w:rsid w:val="0024797F"/>
    <w:rsid w:val="00247B0C"/>
    <w:rsid w:val="00247D43"/>
    <w:rsid w:val="002501B5"/>
    <w:rsid w:val="002509C8"/>
    <w:rsid w:val="00250A7D"/>
    <w:rsid w:val="002514DB"/>
    <w:rsid w:val="00251939"/>
    <w:rsid w:val="00251B30"/>
    <w:rsid w:val="00251DE0"/>
    <w:rsid w:val="002523CD"/>
    <w:rsid w:val="002528FA"/>
    <w:rsid w:val="00252A79"/>
    <w:rsid w:val="00252D8A"/>
    <w:rsid w:val="00253345"/>
    <w:rsid w:val="002536DC"/>
    <w:rsid w:val="002546CE"/>
    <w:rsid w:val="0025481E"/>
    <w:rsid w:val="00254A74"/>
    <w:rsid w:val="00254EB6"/>
    <w:rsid w:val="0025585E"/>
    <w:rsid w:val="00255D47"/>
    <w:rsid w:val="002563DE"/>
    <w:rsid w:val="00257102"/>
    <w:rsid w:val="002571B3"/>
    <w:rsid w:val="002572B3"/>
    <w:rsid w:val="002574E0"/>
    <w:rsid w:val="0025763F"/>
    <w:rsid w:val="002579C6"/>
    <w:rsid w:val="00259F62"/>
    <w:rsid w:val="002604E2"/>
    <w:rsid w:val="0026065E"/>
    <w:rsid w:val="0026087A"/>
    <w:rsid w:val="002609DD"/>
    <w:rsid w:val="00260A4A"/>
    <w:rsid w:val="00260BB6"/>
    <w:rsid w:val="00260DE2"/>
    <w:rsid w:val="00260F52"/>
    <w:rsid w:val="00260F5F"/>
    <w:rsid w:val="002612F9"/>
    <w:rsid w:val="002614FF"/>
    <w:rsid w:val="00261C70"/>
    <w:rsid w:val="00261C96"/>
    <w:rsid w:val="00261E1B"/>
    <w:rsid w:val="002621DA"/>
    <w:rsid w:val="00262365"/>
    <w:rsid w:val="002623BE"/>
    <w:rsid w:val="00262D02"/>
    <w:rsid w:val="002634EE"/>
    <w:rsid w:val="00263AFD"/>
    <w:rsid w:val="00263DA4"/>
    <w:rsid w:val="00263F69"/>
    <w:rsid w:val="0026447D"/>
    <w:rsid w:val="002645FE"/>
    <w:rsid w:val="00264838"/>
    <w:rsid w:val="0026483F"/>
    <w:rsid w:val="00264B82"/>
    <w:rsid w:val="002655E4"/>
    <w:rsid w:val="00265B51"/>
    <w:rsid w:val="002661FE"/>
    <w:rsid w:val="002662CF"/>
    <w:rsid w:val="00266334"/>
    <w:rsid w:val="00266395"/>
    <w:rsid w:val="0026649B"/>
    <w:rsid w:val="0026685E"/>
    <w:rsid w:val="00266BF7"/>
    <w:rsid w:val="002702C6"/>
    <w:rsid w:val="002709EA"/>
    <w:rsid w:val="00270F6F"/>
    <w:rsid w:val="00270FE3"/>
    <w:rsid w:val="00271055"/>
    <w:rsid w:val="00271455"/>
    <w:rsid w:val="00271657"/>
    <w:rsid w:val="002716BA"/>
    <w:rsid w:val="00271D59"/>
    <w:rsid w:val="002722D6"/>
    <w:rsid w:val="002731CA"/>
    <w:rsid w:val="00273457"/>
    <w:rsid w:val="00273987"/>
    <w:rsid w:val="002740E0"/>
    <w:rsid w:val="0027411C"/>
    <w:rsid w:val="002746F5"/>
    <w:rsid w:val="00274788"/>
    <w:rsid w:val="00274D15"/>
    <w:rsid w:val="00274ED4"/>
    <w:rsid w:val="00275079"/>
    <w:rsid w:val="0027515A"/>
    <w:rsid w:val="0027577E"/>
    <w:rsid w:val="0027585D"/>
    <w:rsid w:val="002760C8"/>
    <w:rsid w:val="002761AC"/>
    <w:rsid w:val="002761F5"/>
    <w:rsid w:val="002765B7"/>
    <w:rsid w:val="0027674D"/>
    <w:rsid w:val="002768EA"/>
    <w:rsid w:val="0027693F"/>
    <w:rsid w:val="002769FB"/>
    <w:rsid w:val="002771C5"/>
    <w:rsid w:val="002774E0"/>
    <w:rsid w:val="00277729"/>
    <w:rsid w:val="0027792D"/>
    <w:rsid w:val="00277A7D"/>
    <w:rsid w:val="00277C68"/>
    <w:rsid w:val="00280461"/>
    <w:rsid w:val="002805F0"/>
    <w:rsid w:val="002808B2"/>
    <w:rsid w:val="0028091A"/>
    <w:rsid w:val="00280DD2"/>
    <w:rsid w:val="00280F91"/>
    <w:rsid w:val="0028100E"/>
    <w:rsid w:val="00281264"/>
    <w:rsid w:val="00281501"/>
    <w:rsid w:val="00281508"/>
    <w:rsid w:val="00281620"/>
    <w:rsid w:val="002816D8"/>
    <w:rsid w:val="00281D16"/>
    <w:rsid w:val="00281FAA"/>
    <w:rsid w:val="00281FB6"/>
    <w:rsid w:val="0028211A"/>
    <w:rsid w:val="002823DD"/>
    <w:rsid w:val="00282A2F"/>
    <w:rsid w:val="00282FDA"/>
    <w:rsid w:val="00283143"/>
    <w:rsid w:val="002833CF"/>
    <w:rsid w:val="00283C8D"/>
    <w:rsid w:val="002845CB"/>
    <w:rsid w:val="00284B4B"/>
    <w:rsid w:val="0028541B"/>
    <w:rsid w:val="0028545C"/>
    <w:rsid w:val="00285545"/>
    <w:rsid w:val="00285627"/>
    <w:rsid w:val="00285642"/>
    <w:rsid w:val="002856C2"/>
    <w:rsid w:val="002859AB"/>
    <w:rsid w:val="00285AD4"/>
    <w:rsid w:val="00285C63"/>
    <w:rsid w:val="002860FE"/>
    <w:rsid w:val="0028623B"/>
    <w:rsid w:val="002863F8"/>
    <w:rsid w:val="0028643F"/>
    <w:rsid w:val="00286B5A"/>
    <w:rsid w:val="00287030"/>
    <w:rsid w:val="00287096"/>
    <w:rsid w:val="002870AF"/>
    <w:rsid w:val="0028718C"/>
    <w:rsid w:val="00287353"/>
    <w:rsid w:val="0028778D"/>
    <w:rsid w:val="00287B07"/>
    <w:rsid w:val="0029006A"/>
    <w:rsid w:val="00290190"/>
    <w:rsid w:val="0029055C"/>
    <w:rsid w:val="00290AA3"/>
    <w:rsid w:val="00290EBF"/>
    <w:rsid w:val="0029106C"/>
    <w:rsid w:val="00291148"/>
    <w:rsid w:val="002912E4"/>
    <w:rsid w:val="002913FA"/>
    <w:rsid w:val="00291816"/>
    <w:rsid w:val="002918B3"/>
    <w:rsid w:val="00291D73"/>
    <w:rsid w:val="00291F0E"/>
    <w:rsid w:val="00291F93"/>
    <w:rsid w:val="0029206A"/>
    <w:rsid w:val="002924DF"/>
    <w:rsid w:val="00292BBE"/>
    <w:rsid w:val="00292C29"/>
    <w:rsid w:val="00292C40"/>
    <w:rsid w:val="00292DBE"/>
    <w:rsid w:val="002931DC"/>
    <w:rsid w:val="0029324E"/>
    <w:rsid w:val="0029348C"/>
    <w:rsid w:val="002935E4"/>
    <w:rsid w:val="00293D3F"/>
    <w:rsid w:val="00294136"/>
    <w:rsid w:val="0029488B"/>
    <w:rsid w:val="00294B1A"/>
    <w:rsid w:val="00294BC7"/>
    <w:rsid w:val="00294DC4"/>
    <w:rsid w:val="00295135"/>
    <w:rsid w:val="0029595D"/>
    <w:rsid w:val="00295A58"/>
    <w:rsid w:val="002962FC"/>
    <w:rsid w:val="00296913"/>
    <w:rsid w:val="002969B9"/>
    <w:rsid w:val="00296A3E"/>
    <w:rsid w:val="00296DF4"/>
    <w:rsid w:val="00296E6C"/>
    <w:rsid w:val="002970B6"/>
    <w:rsid w:val="0029727E"/>
    <w:rsid w:val="002972F0"/>
    <w:rsid w:val="00297A6E"/>
    <w:rsid w:val="00297E6C"/>
    <w:rsid w:val="002A07B0"/>
    <w:rsid w:val="002A07B1"/>
    <w:rsid w:val="002A07CC"/>
    <w:rsid w:val="002A0A25"/>
    <w:rsid w:val="002A0C31"/>
    <w:rsid w:val="002A0D1A"/>
    <w:rsid w:val="002A0D3D"/>
    <w:rsid w:val="002A0F90"/>
    <w:rsid w:val="002A1216"/>
    <w:rsid w:val="002A1333"/>
    <w:rsid w:val="002A134B"/>
    <w:rsid w:val="002A172A"/>
    <w:rsid w:val="002A17AA"/>
    <w:rsid w:val="002A1E40"/>
    <w:rsid w:val="002A21D3"/>
    <w:rsid w:val="002A2488"/>
    <w:rsid w:val="002A2524"/>
    <w:rsid w:val="002A26DF"/>
    <w:rsid w:val="002A296E"/>
    <w:rsid w:val="002A2B56"/>
    <w:rsid w:val="002A2C79"/>
    <w:rsid w:val="002A305D"/>
    <w:rsid w:val="002A361E"/>
    <w:rsid w:val="002A3B75"/>
    <w:rsid w:val="002A3CD2"/>
    <w:rsid w:val="002A3D1D"/>
    <w:rsid w:val="002A3EAF"/>
    <w:rsid w:val="002A4970"/>
    <w:rsid w:val="002A4E23"/>
    <w:rsid w:val="002A56E6"/>
    <w:rsid w:val="002A5891"/>
    <w:rsid w:val="002A595F"/>
    <w:rsid w:val="002A5A03"/>
    <w:rsid w:val="002A62C1"/>
    <w:rsid w:val="002A667C"/>
    <w:rsid w:val="002A695F"/>
    <w:rsid w:val="002A69AA"/>
    <w:rsid w:val="002A6B53"/>
    <w:rsid w:val="002A7402"/>
    <w:rsid w:val="002A7542"/>
    <w:rsid w:val="002A757B"/>
    <w:rsid w:val="002A75EC"/>
    <w:rsid w:val="002A7848"/>
    <w:rsid w:val="002A7A44"/>
    <w:rsid w:val="002B0358"/>
    <w:rsid w:val="002B0778"/>
    <w:rsid w:val="002B0931"/>
    <w:rsid w:val="002B0E4A"/>
    <w:rsid w:val="002B0FCE"/>
    <w:rsid w:val="002B10AC"/>
    <w:rsid w:val="002B14BB"/>
    <w:rsid w:val="002B1622"/>
    <w:rsid w:val="002B172A"/>
    <w:rsid w:val="002B184A"/>
    <w:rsid w:val="002B18C7"/>
    <w:rsid w:val="002B1CAF"/>
    <w:rsid w:val="002B1FE8"/>
    <w:rsid w:val="002B2A3F"/>
    <w:rsid w:val="002B2B64"/>
    <w:rsid w:val="002B2EFB"/>
    <w:rsid w:val="002B32A5"/>
    <w:rsid w:val="002B3626"/>
    <w:rsid w:val="002B3A98"/>
    <w:rsid w:val="002B3B08"/>
    <w:rsid w:val="002B3B62"/>
    <w:rsid w:val="002B3B78"/>
    <w:rsid w:val="002B3BA4"/>
    <w:rsid w:val="002B3C96"/>
    <w:rsid w:val="002B3D35"/>
    <w:rsid w:val="002B402E"/>
    <w:rsid w:val="002B4481"/>
    <w:rsid w:val="002B44DE"/>
    <w:rsid w:val="002B4660"/>
    <w:rsid w:val="002B493B"/>
    <w:rsid w:val="002B4970"/>
    <w:rsid w:val="002B4989"/>
    <w:rsid w:val="002B4BD2"/>
    <w:rsid w:val="002B4D6B"/>
    <w:rsid w:val="002B4F50"/>
    <w:rsid w:val="002B5965"/>
    <w:rsid w:val="002B5C91"/>
    <w:rsid w:val="002B6395"/>
    <w:rsid w:val="002B6B10"/>
    <w:rsid w:val="002B6D49"/>
    <w:rsid w:val="002B6FFC"/>
    <w:rsid w:val="002B7012"/>
    <w:rsid w:val="002B740C"/>
    <w:rsid w:val="002B77CE"/>
    <w:rsid w:val="002B7B28"/>
    <w:rsid w:val="002B7C98"/>
    <w:rsid w:val="002B7DA0"/>
    <w:rsid w:val="002B7F3B"/>
    <w:rsid w:val="002C0023"/>
    <w:rsid w:val="002C0101"/>
    <w:rsid w:val="002C0A85"/>
    <w:rsid w:val="002C1151"/>
    <w:rsid w:val="002C1158"/>
    <w:rsid w:val="002C16CB"/>
    <w:rsid w:val="002C18BB"/>
    <w:rsid w:val="002C1C69"/>
    <w:rsid w:val="002C1CE5"/>
    <w:rsid w:val="002C1E28"/>
    <w:rsid w:val="002C1F8B"/>
    <w:rsid w:val="002C2272"/>
    <w:rsid w:val="002C2446"/>
    <w:rsid w:val="002C256D"/>
    <w:rsid w:val="002C2586"/>
    <w:rsid w:val="002C258C"/>
    <w:rsid w:val="002C26C4"/>
    <w:rsid w:val="002C27F0"/>
    <w:rsid w:val="002C289C"/>
    <w:rsid w:val="002C37BA"/>
    <w:rsid w:val="002C3952"/>
    <w:rsid w:val="002C39BC"/>
    <w:rsid w:val="002C3A16"/>
    <w:rsid w:val="002C3A95"/>
    <w:rsid w:val="002C3ABB"/>
    <w:rsid w:val="002C3CD0"/>
    <w:rsid w:val="002C3D61"/>
    <w:rsid w:val="002C42F5"/>
    <w:rsid w:val="002C474A"/>
    <w:rsid w:val="002C4D8A"/>
    <w:rsid w:val="002C4EA4"/>
    <w:rsid w:val="002C4F88"/>
    <w:rsid w:val="002C5054"/>
    <w:rsid w:val="002C506D"/>
    <w:rsid w:val="002C519B"/>
    <w:rsid w:val="002C5857"/>
    <w:rsid w:val="002C5ABC"/>
    <w:rsid w:val="002C5EA3"/>
    <w:rsid w:val="002C5FD2"/>
    <w:rsid w:val="002C60CC"/>
    <w:rsid w:val="002C6392"/>
    <w:rsid w:val="002C6516"/>
    <w:rsid w:val="002C6589"/>
    <w:rsid w:val="002C6670"/>
    <w:rsid w:val="002C669E"/>
    <w:rsid w:val="002C6739"/>
    <w:rsid w:val="002C6C8A"/>
    <w:rsid w:val="002C7780"/>
    <w:rsid w:val="002C79E5"/>
    <w:rsid w:val="002C7BA7"/>
    <w:rsid w:val="002C7FDA"/>
    <w:rsid w:val="002D0204"/>
    <w:rsid w:val="002D0332"/>
    <w:rsid w:val="002D0923"/>
    <w:rsid w:val="002D0945"/>
    <w:rsid w:val="002D0DE8"/>
    <w:rsid w:val="002D122A"/>
    <w:rsid w:val="002D141A"/>
    <w:rsid w:val="002D1674"/>
    <w:rsid w:val="002D1809"/>
    <w:rsid w:val="002D1B32"/>
    <w:rsid w:val="002D1F9D"/>
    <w:rsid w:val="002D2096"/>
    <w:rsid w:val="002D20AD"/>
    <w:rsid w:val="002D20EE"/>
    <w:rsid w:val="002D26CE"/>
    <w:rsid w:val="002D29E5"/>
    <w:rsid w:val="002D2AD0"/>
    <w:rsid w:val="002D2C04"/>
    <w:rsid w:val="002D2D0D"/>
    <w:rsid w:val="002D304D"/>
    <w:rsid w:val="002D3248"/>
    <w:rsid w:val="002D34D4"/>
    <w:rsid w:val="002D3505"/>
    <w:rsid w:val="002D3BE6"/>
    <w:rsid w:val="002D3D67"/>
    <w:rsid w:val="002D4014"/>
    <w:rsid w:val="002D4353"/>
    <w:rsid w:val="002D44E5"/>
    <w:rsid w:val="002D45B8"/>
    <w:rsid w:val="002D4669"/>
    <w:rsid w:val="002D4A19"/>
    <w:rsid w:val="002D4DCC"/>
    <w:rsid w:val="002D57FF"/>
    <w:rsid w:val="002D58AA"/>
    <w:rsid w:val="002D62DD"/>
    <w:rsid w:val="002D63D9"/>
    <w:rsid w:val="002D6A09"/>
    <w:rsid w:val="002D6A47"/>
    <w:rsid w:val="002D6A9F"/>
    <w:rsid w:val="002D6AD2"/>
    <w:rsid w:val="002D6E8D"/>
    <w:rsid w:val="002D7279"/>
    <w:rsid w:val="002D73FD"/>
    <w:rsid w:val="002D78AE"/>
    <w:rsid w:val="002D7A81"/>
    <w:rsid w:val="002D7E77"/>
    <w:rsid w:val="002D7F36"/>
    <w:rsid w:val="002D7F50"/>
    <w:rsid w:val="002E03E6"/>
    <w:rsid w:val="002E06FF"/>
    <w:rsid w:val="002E0FBA"/>
    <w:rsid w:val="002E112D"/>
    <w:rsid w:val="002E1271"/>
    <w:rsid w:val="002E1352"/>
    <w:rsid w:val="002E137C"/>
    <w:rsid w:val="002E1464"/>
    <w:rsid w:val="002E1483"/>
    <w:rsid w:val="002E1643"/>
    <w:rsid w:val="002E1ADD"/>
    <w:rsid w:val="002E2C00"/>
    <w:rsid w:val="002E2C23"/>
    <w:rsid w:val="002E2F6D"/>
    <w:rsid w:val="002E3186"/>
    <w:rsid w:val="002E379D"/>
    <w:rsid w:val="002E3905"/>
    <w:rsid w:val="002E3A56"/>
    <w:rsid w:val="002E3E45"/>
    <w:rsid w:val="002E3FE6"/>
    <w:rsid w:val="002E4171"/>
    <w:rsid w:val="002E4189"/>
    <w:rsid w:val="002E43CE"/>
    <w:rsid w:val="002E453E"/>
    <w:rsid w:val="002E4AA2"/>
    <w:rsid w:val="002E53C6"/>
    <w:rsid w:val="002E5426"/>
    <w:rsid w:val="002E54B7"/>
    <w:rsid w:val="002E54FD"/>
    <w:rsid w:val="002E570D"/>
    <w:rsid w:val="002E5CCE"/>
    <w:rsid w:val="002E5FC4"/>
    <w:rsid w:val="002E611F"/>
    <w:rsid w:val="002E6298"/>
    <w:rsid w:val="002E64A3"/>
    <w:rsid w:val="002E64B6"/>
    <w:rsid w:val="002E69A0"/>
    <w:rsid w:val="002E6B69"/>
    <w:rsid w:val="002E6C32"/>
    <w:rsid w:val="002E6EA9"/>
    <w:rsid w:val="002E7750"/>
    <w:rsid w:val="002E7D18"/>
    <w:rsid w:val="002E7D9C"/>
    <w:rsid w:val="002E7E26"/>
    <w:rsid w:val="002EF737"/>
    <w:rsid w:val="002F098F"/>
    <w:rsid w:val="002F10CE"/>
    <w:rsid w:val="002F12BF"/>
    <w:rsid w:val="002F14C6"/>
    <w:rsid w:val="002F14EB"/>
    <w:rsid w:val="002F17F9"/>
    <w:rsid w:val="002F19EE"/>
    <w:rsid w:val="002F1C33"/>
    <w:rsid w:val="002F1E77"/>
    <w:rsid w:val="002F2150"/>
    <w:rsid w:val="002F241C"/>
    <w:rsid w:val="002F2508"/>
    <w:rsid w:val="002F27DB"/>
    <w:rsid w:val="002F281A"/>
    <w:rsid w:val="002F285A"/>
    <w:rsid w:val="002F285E"/>
    <w:rsid w:val="002F2AC3"/>
    <w:rsid w:val="002F2C69"/>
    <w:rsid w:val="002F2CCA"/>
    <w:rsid w:val="002F2ED5"/>
    <w:rsid w:val="002F3107"/>
    <w:rsid w:val="002F32B4"/>
    <w:rsid w:val="002F375C"/>
    <w:rsid w:val="002F38DD"/>
    <w:rsid w:val="002F3A65"/>
    <w:rsid w:val="002F3F67"/>
    <w:rsid w:val="002F429F"/>
    <w:rsid w:val="002F4993"/>
    <w:rsid w:val="002F4FF8"/>
    <w:rsid w:val="002F50C9"/>
    <w:rsid w:val="002F53B6"/>
    <w:rsid w:val="002F5AA6"/>
    <w:rsid w:val="002F60C8"/>
    <w:rsid w:val="002F6314"/>
    <w:rsid w:val="002F66BA"/>
    <w:rsid w:val="002F671D"/>
    <w:rsid w:val="002F67EA"/>
    <w:rsid w:val="002F6A96"/>
    <w:rsid w:val="002F6E28"/>
    <w:rsid w:val="002F6F28"/>
    <w:rsid w:val="002F7380"/>
    <w:rsid w:val="002F741D"/>
    <w:rsid w:val="002F7B45"/>
    <w:rsid w:val="002F7BCB"/>
    <w:rsid w:val="002F7D60"/>
    <w:rsid w:val="002F7D78"/>
    <w:rsid w:val="002F7EF9"/>
    <w:rsid w:val="002F7F41"/>
    <w:rsid w:val="002F7F88"/>
    <w:rsid w:val="00300124"/>
    <w:rsid w:val="003001E9"/>
    <w:rsid w:val="0030073C"/>
    <w:rsid w:val="00300891"/>
    <w:rsid w:val="003009DC"/>
    <w:rsid w:val="00300A7F"/>
    <w:rsid w:val="00300F1A"/>
    <w:rsid w:val="00300F4E"/>
    <w:rsid w:val="003011A4"/>
    <w:rsid w:val="003011CA"/>
    <w:rsid w:val="003015C5"/>
    <w:rsid w:val="0030167F"/>
    <w:rsid w:val="00301E34"/>
    <w:rsid w:val="00301F34"/>
    <w:rsid w:val="00302178"/>
    <w:rsid w:val="003024D7"/>
    <w:rsid w:val="0030283C"/>
    <w:rsid w:val="00302901"/>
    <w:rsid w:val="00303014"/>
    <w:rsid w:val="003032B4"/>
    <w:rsid w:val="00303757"/>
    <w:rsid w:val="00303C8F"/>
    <w:rsid w:val="003046A6"/>
    <w:rsid w:val="0030471C"/>
    <w:rsid w:val="003047FB"/>
    <w:rsid w:val="0030483A"/>
    <w:rsid w:val="00304B67"/>
    <w:rsid w:val="00304CE4"/>
    <w:rsid w:val="00304F5B"/>
    <w:rsid w:val="00305431"/>
    <w:rsid w:val="0030591D"/>
    <w:rsid w:val="00305C86"/>
    <w:rsid w:val="00305CAD"/>
    <w:rsid w:val="00305D42"/>
    <w:rsid w:val="00305D85"/>
    <w:rsid w:val="00306566"/>
    <w:rsid w:val="00306572"/>
    <w:rsid w:val="0030658C"/>
    <w:rsid w:val="003067DF"/>
    <w:rsid w:val="00306E86"/>
    <w:rsid w:val="0030725B"/>
    <w:rsid w:val="003076EE"/>
    <w:rsid w:val="00307ADD"/>
    <w:rsid w:val="00307C02"/>
    <w:rsid w:val="00307E14"/>
    <w:rsid w:val="00310AB6"/>
    <w:rsid w:val="00310FDA"/>
    <w:rsid w:val="00311061"/>
    <w:rsid w:val="003112FE"/>
    <w:rsid w:val="00311747"/>
    <w:rsid w:val="003117CD"/>
    <w:rsid w:val="00311BB3"/>
    <w:rsid w:val="00312311"/>
    <w:rsid w:val="00312340"/>
    <w:rsid w:val="00312677"/>
    <w:rsid w:val="003130DA"/>
    <w:rsid w:val="00313142"/>
    <w:rsid w:val="0031322C"/>
    <w:rsid w:val="00313428"/>
    <w:rsid w:val="0031379C"/>
    <w:rsid w:val="0031393A"/>
    <w:rsid w:val="00313A06"/>
    <w:rsid w:val="00313AAE"/>
    <w:rsid w:val="00313B4A"/>
    <w:rsid w:val="00313B9E"/>
    <w:rsid w:val="00313DE8"/>
    <w:rsid w:val="00314269"/>
    <w:rsid w:val="00314523"/>
    <w:rsid w:val="00314778"/>
    <w:rsid w:val="00314CDA"/>
    <w:rsid w:val="00314D03"/>
    <w:rsid w:val="0031513F"/>
    <w:rsid w:val="003155D0"/>
    <w:rsid w:val="00315615"/>
    <w:rsid w:val="003156E2"/>
    <w:rsid w:val="003157B1"/>
    <w:rsid w:val="00315820"/>
    <w:rsid w:val="00315A4C"/>
    <w:rsid w:val="00315A77"/>
    <w:rsid w:val="0031625D"/>
    <w:rsid w:val="0031636E"/>
    <w:rsid w:val="003164EC"/>
    <w:rsid w:val="00316512"/>
    <w:rsid w:val="00316765"/>
    <w:rsid w:val="00316DED"/>
    <w:rsid w:val="00316FB7"/>
    <w:rsid w:val="0031703F"/>
    <w:rsid w:val="003174C5"/>
    <w:rsid w:val="003177F7"/>
    <w:rsid w:val="00317864"/>
    <w:rsid w:val="003178C3"/>
    <w:rsid w:val="00317BB1"/>
    <w:rsid w:val="00320096"/>
    <w:rsid w:val="003200DE"/>
    <w:rsid w:val="003206BB"/>
    <w:rsid w:val="00320A71"/>
    <w:rsid w:val="00320B3F"/>
    <w:rsid w:val="0032177B"/>
    <w:rsid w:val="00321DBB"/>
    <w:rsid w:val="00321E98"/>
    <w:rsid w:val="00321FA3"/>
    <w:rsid w:val="0032272C"/>
    <w:rsid w:val="0032287C"/>
    <w:rsid w:val="00322C31"/>
    <w:rsid w:val="00322DEA"/>
    <w:rsid w:val="00322FA2"/>
    <w:rsid w:val="00323460"/>
    <w:rsid w:val="0032375C"/>
    <w:rsid w:val="00323962"/>
    <w:rsid w:val="00323DDC"/>
    <w:rsid w:val="00323FF5"/>
    <w:rsid w:val="003242F1"/>
    <w:rsid w:val="0032431A"/>
    <w:rsid w:val="0032437C"/>
    <w:rsid w:val="003243EB"/>
    <w:rsid w:val="00324847"/>
    <w:rsid w:val="00324A82"/>
    <w:rsid w:val="0032546F"/>
    <w:rsid w:val="00325529"/>
    <w:rsid w:val="00325BEF"/>
    <w:rsid w:val="0032634D"/>
    <w:rsid w:val="00326476"/>
    <w:rsid w:val="00326609"/>
    <w:rsid w:val="00326A12"/>
    <w:rsid w:val="00326A7A"/>
    <w:rsid w:val="00326AFB"/>
    <w:rsid w:val="00326D6C"/>
    <w:rsid w:val="00326D8B"/>
    <w:rsid w:val="003272C8"/>
    <w:rsid w:val="0032766B"/>
    <w:rsid w:val="00327743"/>
    <w:rsid w:val="003278B8"/>
    <w:rsid w:val="00327DE6"/>
    <w:rsid w:val="003300AA"/>
    <w:rsid w:val="00330178"/>
    <w:rsid w:val="00330521"/>
    <w:rsid w:val="003305DB"/>
    <w:rsid w:val="003310D5"/>
    <w:rsid w:val="0033183B"/>
    <w:rsid w:val="00331F74"/>
    <w:rsid w:val="00331F82"/>
    <w:rsid w:val="003322B9"/>
    <w:rsid w:val="00332326"/>
    <w:rsid w:val="003326D6"/>
    <w:rsid w:val="00332C03"/>
    <w:rsid w:val="00332EB5"/>
    <w:rsid w:val="00332F0A"/>
    <w:rsid w:val="003334A8"/>
    <w:rsid w:val="0033369F"/>
    <w:rsid w:val="0033398E"/>
    <w:rsid w:val="00333F42"/>
    <w:rsid w:val="00334220"/>
    <w:rsid w:val="00334486"/>
    <w:rsid w:val="00334610"/>
    <w:rsid w:val="00334BC7"/>
    <w:rsid w:val="00334C7D"/>
    <w:rsid w:val="003351A2"/>
    <w:rsid w:val="0033554F"/>
    <w:rsid w:val="0033586A"/>
    <w:rsid w:val="003363AD"/>
    <w:rsid w:val="00336406"/>
    <w:rsid w:val="0033643E"/>
    <w:rsid w:val="0033655D"/>
    <w:rsid w:val="00336808"/>
    <w:rsid w:val="003369A1"/>
    <w:rsid w:val="003369B6"/>
    <w:rsid w:val="00336A7F"/>
    <w:rsid w:val="003371BD"/>
    <w:rsid w:val="00337CB6"/>
    <w:rsid w:val="003401E5"/>
    <w:rsid w:val="003406EF"/>
    <w:rsid w:val="00340C8A"/>
    <w:rsid w:val="00341A04"/>
    <w:rsid w:val="00341E30"/>
    <w:rsid w:val="00341E50"/>
    <w:rsid w:val="00341EB9"/>
    <w:rsid w:val="00342C51"/>
    <w:rsid w:val="00342DB6"/>
    <w:rsid w:val="003430AD"/>
    <w:rsid w:val="0034386B"/>
    <w:rsid w:val="0034387D"/>
    <w:rsid w:val="003438C9"/>
    <w:rsid w:val="00343DAA"/>
    <w:rsid w:val="00343DAE"/>
    <w:rsid w:val="0034434E"/>
    <w:rsid w:val="00344A9A"/>
    <w:rsid w:val="00344BAC"/>
    <w:rsid w:val="00344C6A"/>
    <w:rsid w:val="00344FF7"/>
    <w:rsid w:val="003451AA"/>
    <w:rsid w:val="003452A3"/>
    <w:rsid w:val="003452E1"/>
    <w:rsid w:val="003453DC"/>
    <w:rsid w:val="003457B0"/>
    <w:rsid w:val="00345A02"/>
    <w:rsid w:val="00345F98"/>
    <w:rsid w:val="00346294"/>
    <w:rsid w:val="003464E6"/>
    <w:rsid w:val="00346CBC"/>
    <w:rsid w:val="00346E1E"/>
    <w:rsid w:val="00346FD2"/>
    <w:rsid w:val="003474CA"/>
    <w:rsid w:val="0034760E"/>
    <w:rsid w:val="0034789B"/>
    <w:rsid w:val="003500EC"/>
    <w:rsid w:val="003503E5"/>
    <w:rsid w:val="00350471"/>
    <w:rsid w:val="00351192"/>
    <w:rsid w:val="00351377"/>
    <w:rsid w:val="00351511"/>
    <w:rsid w:val="003515B7"/>
    <w:rsid w:val="00351DC7"/>
    <w:rsid w:val="00351E2A"/>
    <w:rsid w:val="00351E4B"/>
    <w:rsid w:val="00351F45"/>
    <w:rsid w:val="0035233D"/>
    <w:rsid w:val="00352474"/>
    <w:rsid w:val="003524C6"/>
    <w:rsid w:val="00352556"/>
    <w:rsid w:val="00352581"/>
    <w:rsid w:val="003526A4"/>
    <w:rsid w:val="0035294A"/>
    <w:rsid w:val="00352977"/>
    <w:rsid w:val="00352B42"/>
    <w:rsid w:val="00352CD0"/>
    <w:rsid w:val="00353021"/>
    <w:rsid w:val="003537D9"/>
    <w:rsid w:val="003540B4"/>
    <w:rsid w:val="003543EF"/>
    <w:rsid w:val="00354511"/>
    <w:rsid w:val="00354ACB"/>
    <w:rsid w:val="00354F5B"/>
    <w:rsid w:val="00355355"/>
    <w:rsid w:val="003553BE"/>
    <w:rsid w:val="003557B1"/>
    <w:rsid w:val="003562C0"/>
    <w:rsid w:val="003567B8"/>
    <w:rsid w:val="00356D33"/>
    <w:rsid w:val="00356EC4"/>
    <w:rsid w:val="0035700D"/>
    <w:rsid w:val="003575CB"/>
    <w:rsid w:val="00357C9A"/>
    <w:rsid w:val="00360083"/>
    <w:rsid w:val="003600B6"/>
    <w:rsid w:val="00360225"/>
    <w:rsid w:val="003602E9"/>
    <w:rsid w:val="00360FD1"/>
    <w:rsid w:val="003611B6"/>
    <w:rsid w:val="00361BBB"/>
    <w:rsid w:val="00361D01"/>
    <w:rsid w:val="00362321"/>
    <w:rsid w:val="00362567"/>
    <w:rsid w:val="00362650"/>
    <w:rsid w:val="0036272B"/>
    <w:rsid w:val="00362799"/>
    <w:rsid w:val="003627E8"/>
    <w:rsid w:val="003627ED"/>
    <w:rsid w:val="003629A4"/>
    <w:rsid w:val="00363382"/>
    <w:rsid w:val="003635EF"/>
    <w:rsid w:val="00363774"/>
    <w:rsid w:val="003639ED"/>
    <w:rsid w:val="00363A3E"/>
    <w:rsid w:val="00363A7A"/>
    <w:rsid w:val="00363AD6"/>
    <w:rsid w:val="00363D09"/>
    <w:rsid w:val="003643B3"/>
    <w:rsid w:val="00364A5F"/>
    <w:rsid w:val="00364F80"/>
    <w:rsid w:val="00364F85"/>
    <w:rsid w:val="0036511B"/>
    <w:rsid w:val="00365193"/>
    <w:rsid w:val="00365659"/>
    <w:rsid w:val="00365912"/>
    <w:rsid w:val="003661F6"/>
    <w:rsid w:val="003662EF"/>
    <w:rsid w:val="00366959"/>
    <w:rsid w:val="00366A57"/>
    <w:rsid w:val="00366B0C"/>
    <w:rsid w:val="00366D77"/>
    <w:rsid w:val="00366DFA"/>
    <w:rsid w:val="00366E52"/>
    <w:rsid w:val="0036713E"/>
    <w:rsid w:val="003671F5"/>
    <w:rsid w:val="00367258"/>
    <w:rsid w:val="003677A9"/>
    <w:rsid w:val="003678AA"/>
    <w:rsid w:val="0036793A"/>
    <w:rsid w:val="00367949"/>
    <w:rsid w:val="00367BA4"/>
    <w:rsid w:val="00367CE2"/>
    <w:rsid w:val="00367F34"/>
    <w:rsid w:val="00370511"/>
    <w:rsid w:val="00370929"/>
    <w:rsid w:val="00370AA8"/>
    <w:rsid w:val="00370CED"/>
    <w:rsid w:val="0037117A"/>
    <w:rsid w:val="00371282"/>
    <w:rsid w:val="00371380"/>
    <w:rsid w:val="003716E7"/>
    <w:rsid w:val="0037196A"/>
    <w:rsid w:val="003719A7"/>
    <w:rsid w:val="00371CEB"/>
    <w:rsid w:val="00371E3D"/>
    <w:rsid w:val="00371E7E"/>
    <w:rsid w:val="003722FF"/>
    <w:rsid w:val="00372327"/>
    <w:rsid w:val="003725C6"/>
    <w:rsid w:val="00372623"/>
    <w:rsid w:val="00372939"/>
    <w:rsid w:val="0037298A"/>
    <w:rsid w:val="00372C44"/>
    <w:rsid w:val="00372E6C"/>
    <w:rsid w:val="0037326A"/>
    <w:rsid w:val="003732BB"/>
    <w:rsid w:val="0037333A"/>
    <w:rsid w:val="0037358B"/>
    <w:rsid w:val="0037366E"/>
    <w:rsid w:val="00373712"/>
    <w:rsid w:val="003738E7"/>
    <w:rsid w:val="00373975"/>
    <w:rsid w:val="00373B41"/>
    <w:rsid w:val="00373BB7"/>
    <w:rsid w:val="0037416D"/>
    <w:rsid w:val="0037445F"/>
    <w:rsid w:val="0037479E"/>
    <w:rsid w:val="00374A1D"/>
    <w:rsid w:val="00374EE7"/>
    <w:rsid w:val="00375279"/>
    <w:rsid w:val="00375808"/>
    <w:rsid w:val="00375936"/>
    <w:rsid w:val="00376075"/>
    <w:rsid w:val="003760B6"/>
    <w:rsid w:val="003760FE"/>
    <w:rsid w:val="00376112"/>
    <w:rsid w:val="003767A9"/>
    <w:rsid w:val="003767F1"/>
    <w:rsid w:val="00377039"/>
    <w:rsid w:val="003775EB"/>
    <w:rsid w:val="00377A6E"/>
    <w:rsid w:val="00377D4C"/>
    <w:rsid w:val="00377EE2"/>
    <w:rsid w:val="0038001D"/>
    <w:rsid w:val="003800B5"/>
    <w:rsid w:val="003802FB"/>
    <w:rsid w:val="003803B2"/>
    <w:rsid w:val="003803F5"/>
    <w:rsid w:val="0038061C"/>
    <w:rsid w:val="003807E5"/>
    <w:rsid w:val="00380D88"/>
    <w:rsid w:val="00380DC1"/>
    <w:rsid w:val="0038116D"/>
    <w:rsid w:val="0038162D"/>
    <w:rsid w:val="00381A21"/>
    <w:rsid w:val="00381BF5"/>
    <w:rsid w:val="00381FF1"/>
    <w:rsid w:val="0038219A"/>
    <w:rsid w:val="00382232"/>
    <w:rsid w:val="00382B6C"/>
    <w:rsid w:val="00382C47"/>
    <w:rsid w:val="00383556"/>
    <w:rsid w:val="00383710"/>
    <w:rsid w:val="0038391E"/>
    <w:rsid w:val="00383C8C"/>
    <w:rsid w:val="003840DA"/>
    <w:rsid w:val="003842B0"/>
    <w:rsid w:val="00384554"/>
    <w:rsid w:val="00384660"/>
    <w:rsid w:val="0038472D"/>
    <w:rsid w:val="00384758"/>
    <w:rsid w:val="0038475A"/>
    <w:rsid w:val="00384F92"/>
    <w:rsid w:val="0038539E"/>
    <w:rsid w:val="003854B2"/>
    <w:rsid w:val="00385710"/>
    <w:rsid w:val="00385D73"/>
    <w:rsid w:val="00385E59"/>
    <w:rsid w:val="00385EB1"/>
    <w:rsid w:val="00386D2D"/>
    <w:rsid w:val="003872E6"/>
    <w:rsid w:val="003873C3"/>
    <w:rsid w:val="003876F3"/>
    <w:rsid w:val="00387841"/>
    <w:rsid w:val="0039019F"/>
    <w:rsid w:val="00390253"/>
    <w:rsid w:val="003907C8"/>
    <w:rsid w:val="003907CB"/>
    <w:rsid w:val="00390AD5"/>
    <w:rsid w:val="00390D05"/>
    <w:rsid w:val="00391232"/>
    <w:rsid w:val="0039145A"/>
    <w:rsid w:val="00391620"/>
    <w:rsid w:val="003916A0"/>
    <w:rsid w:val="0039187A"/>
    <w:rsid w:val="003919D0"/>
    <w:rsid w:val="00391D7A"/>
    <w:rsid w:val="00391DE4"/>
    <w:rsid w:val="00391E45"/>
    <w:rsid w:val="00391F69"/>
    <w:rsid w:val="003927EA"/>
    <w:rsid w:val="00392F22"/>
    <w:rsid w:val="00393075"/>
    <w:rsid w:val="00393356"/>
    <w:rsid w:val="003935AD"/>
    <w:rsid w:val="003936D0"/>
    <w:rsid w:val="00393A08"/>
    <w:rsid w:val="00393A3B"/>
    <w:rsid w:val="00393A9E"/>
    <w:rsid w:val="00393D20"/>
    <w:rsid w:val="00393DCB"/>
    <w:rsid w:val="003943A0"/>
    <w:rsid w:val="0039443A"/>
    <w:rsid w:val="00394B17"/>
    <w:rsid w:val="00394E2A"/>
    <w:rsid w:val="0039526D"/>
    <w:rsid w:val="00395282"/>
    <w:rsid w:val="0039556F"/>
    <w:rsid w:val="0039561D"/>
    <w:rsid w:val="00395A65"/>
    <w:rsid w:val="00395F03"/>
    <w:rsid w:val="00396163"/>
    <w:rsid w:val="003963BA"/>
    <w:rsid w:val="003968C3"/>
    <w:rsid w:val="0039698C"/>
    <w:rsid w:val="00396B79"/>
    <w:rsid w:val="00396F6F"/>
    <w:rsid w:val="003971B4"/>
    <w:rsid w:val="00397CDF"/>
    <w:rsid w:val="003A03C8"/>
    <w:rsid w:val="003A08A7"/>
    <w:rsid w:val="003A0A87"/>
    <w:rsid w:val="003A0A9A"/>
    <w:rsid w:val="003A10EF"/>
    <w:rsid w:val="003A112B"/>
    <w:rsid w:val="003A1146"/>
    <w:rsid w:val="003A13F2"/>
    <w:rsid w:val="003A15C9"/>
    <w:rsid w:val="003A2008"/>
    <w:rsid w:val="003A2302"/>
    <w:rsid w:val="003A2857"/>
    <w:rsid w:val="003A3317"/>
    <w:rsid w:val="003A3399"/>
    <w:rsid w:val="003A348E"/>
    <w:rsid w:val="003A35C0"/>
    <w:rsid w:val="003A4658"/>
    <w:rsid w:val="003A4C9F"/>
    <w:rsid w:val="003A552B"/>
    <w:rsid w:val="003A5726"/>
    <w:rsid w:val="003A5807"/>
    <w:rsid w:val="003A585D"/>
    <w:rsid w:val="003A5B9D"/>
    <w:rsid w:val="003A5BD9"/>
    <w:rsid w:val="003A5F35"/>
    <w:rsid w:val="003A5FA6"/>
    <w:rsid w:val="003A612F"/>
    <w:rsid w:val="003A62A5"/>
    <w:rsid w:val="003A62E5"/>
    <w:rsid w:val="003A6422"/>
    <w:rsid w:val="003A6690"/>
    <w:rsid w:val="003A6B69"/>
    <w:rsid w:val="003A6D58"/>
    <w:rsid w:val="003A79C8"/>
    <w:rsid w:val="003A7FCD"/>
    <w:rsid w:val="003B00FE"/>
    <w:rsid w:val="003B0100"/>
    <w:rsid w:val="003B0437"/>
    <w:rsid w:val="003B0709"/>
    <w:rsid w:val="003B0A0F"/>
    <w:rsid w:val="003B0DC7"/>
    <w:rsid w:val="003B0EA5"/>
    <w:rsid w:val="003B0EDF"/>
    <w:rsid w:val="003B0EED"/>
    <w:rsid w:val="003B0F01"/>
    <w:rsid w:val="003B0FDD"/>
    <w:rsid w:val="003B11BF"/>
    <w:rsid w:val="003B1344"/>
    <w:rsid w:val="003B1861"/>
    <w:rsid w:val="003B1DF5"/>
    <w:rsid w:val="003B1F6D"/>
    <w:rsid w:val="003B203D"/>
    <w:rsid w:val="003B228D"/>
    <w:rsid w:val="003B25F6"/>
    <w:rsid w:val="003B2F93"/>
    <w:rsid w:val="003B34D4"/>
    <w:rsid w:val="003B37DF"/>
    <w:rsid w:val="003B3BB0"/>
    <w:rsid w:val="003B3CAE"/>
    <w:rsid w:val="003B3D46"/>
    <w:rsid w:val="003B3D4D"/>
    <w:rsid w:val="003B4221"/>
    <w:rsid w:val="003B4389"/>
    <w:rsid w:val="003B447F"/>
    <w:rsid w:val="003B4638"/>
    <w:rsid w:val="003B4942"/>
    <w:rsid w:val="003B529B"/>
    <w:rsid w:val="003B573D"/>
    <w:rsid w:val="003B5D0E"/>
    <w:rsid w:val="003B5D94"/>
    <w:rsid w:val="003B62E4"/>
    <w:rsid w:val="003B6366"/>
    <w:rsid w:val="003B6995"/>
    <w:rsid w:val="003B6C36"/>
    <w:rsid w:val="003B6F5A"/>
    <w:rsid w:val="003B74A5"/>
    <w:rsid w:val="003B74D8"/>
    <w:rsid w:val="003B7812"/>
    <w:rsid w:val="003B79D2"/>
    <w:rsid w:val="003B7B52"/>
    <w:rsid w:val="003B7C6E"/>
    <w:rsid w:val="003C0606"/>
    <w:rsid w:val="003C0D5B"/>
    <w:rsid w:val="003C0F40"/>
    <w:rsid w:val="003C0F8C"/>
    <w:rsid w:val="003C11D4"/>
    <w:rsid w:val="003C16DE"/>
    <w:rsid w:val="003C17CB"/>
    <w:rsid w:val="003C1C01"/>
    <w:rsid w:val="003C1D09"/>
    <w:rsid w:val="003C1D37"/>
    <w:rsid w:val="003C22CC"/>
    <w:rsid w:val="003C2519"/>
    <w:rsid w:val="003C2545"/>
    <w:rsid w:val="003C2611"/>
    <w:rsid w:val="003C27A8"/>
    <w:rsid w:val="003C2A65"/>
    <w:rsid w:val="003C2A6F"/>
    <w:rsid w:val="003C2C70"/>
    <w:rsid w:val="003C2F49"/>
    <w:rsid w:val="003C2FB0"/>
    <w:rsid w:val="003C351D"/>
    <w:rsid w:val="003C35DC"/>
    <w:rsid w:val="003C37DC"/>
    <w:rsid w:val="003C396A"/>
    <w:rsid w:val="003C3BAB"/>
    <w:rsid w:val="003C3C80"/>
    <w:rsid w:val="003C3F3C"/>
    <w:rsid w:val="003C4801"/>
    <w:rsid w:val="003C4924"/>
    <w:rsid w:val="003C4974"/>
    <w:rsid w:val="003C4A7F"/>
    <w:rsid w:val="003C4B2D"/>
    <w:rsid w:val="003C53E8"/>
    <w:rsid w:val="003C5765"/>
    <w:rsid w:val="003C5B4D"/>
    <w:rsid w:val="003C5C27"/>
    <w:rsid w:val="003C5DC6"/>
    <w:rsid w:val="003C5DC7"/>
    <w:rsid w:val="003C5E26"/>
    <w:rsid w:val="003C5E34"/>
    <w:rsid w:val="003C5FCB"/>
    <w:rsid w:val="003C607A"/>
    <w:rsid w:val="003C6325"/>
    <w:rsid w:val="003C711E"/>
    <w:rsid w:val="003C7295"/>
    <w:rsid w:val="003C72BE"/>
    <w:rsid w:val="003C754D"/>
    <w:rsid w:val="003C7749"/>
    <w:rsid w:val="003C78D4"/>
    <w:rsid w:val="003C7A7F"/>
    <w:rsid w:val="003D01D9"/>
    <w:rsid w:val="003D03F5"/>
    <w:rsid w:val="003D075D"/>
    <w:rsid w:val="003D079E"/>
    <w:rsid w:val="003D07CE"/>
    <w:rsid w:val="003D0A0D"/>
    <w:rsid w:val="003D0C28"/>
    <w:rsid w:val="003D10C0"/>
    <w:rsid w:val="003D158D"/>
    <w:rsid w:val="003D1677"/>
    <w:rsid w:val="003D1718"/>
    <w:rsid w:val="003D1F01"/>
    <w:rsid w:val="003D210C"/>
    <w:rsid w:val="003D2191"/>
    <w:rsid w:val="003D219E"/>
    <w:rsid w:val="003D2651"/>
    <w:rsid w:val="003D2936"/>
    <w:rsid w:val="003D29C2"/>
    <w:rsid w:val="003D39D6"/>
    <w:rsid w:val="003D3A92"/>
    <w:rsid w:val="003D3CC3"/>
    <w:rsid w:val="003D3DBE"/>
    <w:rsid w:val="003D3F66"/>
    <w:rsid w:val="003D4164"/>
    <w:rsid w:val="003D43A2"/>
    <w:rsid w:val="003D4548"/>
    <w:rsid w:val="003D46E6"/>
    <w:rsid w:val="003D4AF1"/>
    <w:rsid w:val="003D4B32"/>
    <w:rsid w:val="003D4D93"/>
    <w:rsid w:val="003D5181"/>
    <w:rsid w:val="003D6450"/>
    <w:rsid w:val="003D6B0B"/>
    <w:rsid w:val="003D6BBF"/>
    <w:rsid w:val="003D6E92"/>
    <w:rsid w:val="003D72B2"/>
    <w:rsid w:val="003D7BBA"/>
    <w:rsid w:val="003E0017"/>
    <w:rsid w:val="003E0697"/>
    <w:rsid w:val="003E07EE"/>
    <w:rsid w:val="003E0D90"/>
    <w:rsid w:val="003E17D1"/>
    <w:rsid w:val="003E1BC7"/>
    <w:rsid w:val="003E1C7F"/>
    <w:rsid w:val="003E2153"/>
    <w:rsid w:val="003E2179"/>
    <w:rsid w:val="003E2334"/>
    <w:rsid w:val="003E238B"/>
    <w:rsid w:val="003E2F2B"/>
    <w:rsid w:val="003E2F79"/>
    <w:rsid w:val="003E363C"/>
    <w:rsid w:val="003E3990"/>
    <w:rsid w:val="003E3ADF"/>
    <w:rsid w:val="003E3EB5"/>
    <w:rsid w:val="003E3EB8"/>
    <w:rsid w:val="003E3F58"/>
    <w:rsid w:val="003E409C"/>
    <w:rsid w:val="003E41EB"/>
    <w:rsid w:val="003E4358"/>
    <w:rsid w:val="003E4ADD"/>
    <w:rsid w:val="003E4BF5"/>
    <w:rsid w:val="003E4D5E"/>
    <w:rsid w:val="003E4DEB"/>
    <w:rsid w:val="003E4EE8"/>
    <w:rsid w:val="003E5157"/>
    <w:rsid w:val="003E522B"/>
    <w:rsid w:val="003E543C"/>
    <w:rsid w:val="003E5CE3"/>
    <w:rsid w:val="003E5D82"/>
    <w:rsid w:val="003E675D"/>
    <w:rsid w:val="003E6B78"/>
    <w:rsid w:val="003E6C2B"/>
    <w:rsid w:val="003E6D56"/>
    <w:rsid w:val="003E6FA5"/>
    <w:rsid w:val="003E7501"/>
    <w:rsid w:val="003E78F1"/>
    <w:rsid w:val="003E7940"/>
    <w:rsid w:val="003E7ACE"/>
    <w:rsid w:val="003F0016"/>
    <w:rsid w:val="003F0052"/>
    <w:rsid w:val="003F0380"/>
    <w:rsid w:val="003F0387"/>
    <w:rsid w:val="003F0894"/>
    <w:rsid w:val="003F0C46"/>
    <w:rsid w:val="003F0C9E"/>
    <w:rsid w:val="003F107A"/>
    <w:rsid w:val="003F1720"/>
    <w:rsid w:val="003F187E"/>
    <w:rsid w:val="003F18B5"/>
    <w:rsid w:val="003F1C1E"/>
    <w:rsid w:val="003F1FC6"/>
    <w:rsid w:val="003F29D8"/>
    <w:rsid w:val="003F2CF4"/>
    <w:rsid w:val="003F38CB"/>
    <w:rsid w:val="003F3A29"/>
    <w:rsid w:val="003F3C0D"/>
    <w:rsid w:val="003F3C62"/>
    <w:rsid w:val="003F467E"/>
    <w:rsid w:val="003F48A9"/>
    <w:rsid w:val="003F48F2"/>
    <w:rsid w:val="003F49E3"/>
    <w:rsid w:val="003F4B2B"/>
    <w:rsid w:val="003F4F04"/>
    <w:rsid w:val="003F4F09"/>
    <w:rsid w:val="003F50EA"/>
    <w:rsid w:val="003F55A5"/>
    <w:rsid w:val="003F5661"/>
    <w:rsid w:val="003F58D0"/>
    <w:rsid w:val="003F5C28"/>
    <w:rsid w:val="003F5DF2"/>
    <w:rsid w:val="003F6005"/>
    <w:rsid w:val="003F60A8"/>
    <w:rsid w:val="003F6656"/>
    <w:rsid w:val="003F6671"/>
    <w:rsid w:val="003F671E"/>
    <w:rsid w:val="003F6788"/>
    <w:rsid w:val="003F6A63"/>
    <w:rsid w:val="003F6BF1"/>
    <w:rsid w:val="003F6DBC"/>
    <w:rsid w:val="003F77E4"/>
    <w:rsid w:val="003F7895"/>
    <w:rsid w:val="003F79FE"/>
    <w:rsid w:val="003F7ADA"/>
    <w:rsid w:val="003F7CA5"/>
    <w:rsid w:val="00400491"/>
    <w:rsid w:val="004008A4"/>
    <w:rsid w:val="004009A4"/>
    <w:rsid w:val="00400B49"/>
    <w:rsid w:val="00400EB5"/>
    <w:rsid w:val="004010B6"/>
    <w:rsid w:val="00401994"/>
    <w:rsid w:val="00401C63"/>
    <w:rsid w:val="00401FFE"/>
    <w:rsid w:val="004020E7"/>
    <w:rsid w:val="0040250A"/>
    <w:rsid w:val="00402A53"/>
    <w:rsid w:val="00402BC2"/>
    <w:rsid w:val="00402D9F"/>
    <w:rsid w:val="00402F38"/>
    <w:rsid w:val="004030E1"/>
    <w:rsid w:val="00403143"/>
    <w:rsid w:val="00403156"/>
    <w:rsid w:val="00403573"/>
    <w:rsid w:val="004035DC"/>
    <w:rsid w:val="00403BF2"/>
    <w:rsid w:val="00404044"/>
    <w:rsid w:val="00404A54"/>
    <w:rsid w:val="00404E6A"/>
    <w:rsid w:val="00405AF2"/>
    <w:rsid w:val="004064B6"/>
    <w:rsid w:val="004065B1"/>
    <w:rsid w:val="00406BE0"/>
    <w:rsid w:val="004073C3"/>
    <w:rsid w:val="0040755D"/>
    <w:rsid w:val="004075D6"/>
    <w:rsid w:val="00407602"/>
    <w:rsid w:val="00407765"/>
    <w:rsid w:val="00407BB6"/>
    <w:rsid w:val="00407EC1"/>
    <w:rsid w:val="00407F0B"/>
    <w:rsid w:val="00407FD6"/>
    <w:rsid w:val="00410186"/>
    <w:rsid w:val="00410A25"/>
    <w:rsid w:val="00410FC6"/>
    <w:rsid w:val="00411156"/>
    <w:rsid w:val="00411206"/>
    <w:rsid w:val="00411574"/>
    <w:rsid w:val="0041181E"/>
    <w:rsid w:val="00411A51"/>
    <w:rsid w:val="00411CF2"/>
    <w:rsid w:val="004124C8"/>
    <w:rsid w:val="004125DC"/>
    <w:rsid w:val="004129C3"/>
    <w:rsid w:val="004129E6"/>
    <w:rsid w:val="00412AA4"/>
    <w:rsid w:val="00412B6F"/>
    <w:rsid w:val="00412C63"/>
    <w:rsid w:val="00413568"/>
    <w:rsid w:val="0041358B"/>
    <w:rsid w:val="004139C2"/>
    <w:rsid w:val="00413FAD"/>
    <w:rsid w:val="00415067"/>
    <w:rsid w:val="00415197"/>
    <w:rsid w:val="00415250"/>
    <w:rsid w:val="004154CE"/>
    <w:rsid w:val="00415B7C"/>
    <w:rsid w:val="00416125"/>
    <w:rsid w:val="00416405"/>
    <w:rsid w:val="00416F9D"/>
    <w:rsid w:val="00416FF6"/>
    <w:rsid w:val="004170BA"/>
    <w:rsid w:val="004175D9"/>
    <w:rsid w:val="004175FE"/>
    <w:rsid w:val="0041767E"/>
    <w:rsid w:val="004177DE"/>
    <w:rsid w:val="00417B6A"/>
    <w:rsid w:val="00420021"/>
    <w:rsid w:val="004203FB"/>
    <w:rsid w:val="004208F7"/>
    <w:rsid w:val="0042099E"/>
    <w:rsid w:val="00420ACD"/>
    <w:rsid w:val="00420B27"/>
    <w:rsid w:val="00420F7B"/>
    <w:rsid w:val="0042106C"/>
    <w:rsid w:val="0042106D"/>
    <w:rsid w:val="004210F4"/>
    <w:rsid w:val="004218F3"/>
    <w:rsid w:val="004218FA"/>
    <w:rsid w:val="00421CDB"/>
    <w:rsid w:val="00421D7B"/>
    <w:rsid w:val="00422F04"/>
    <w:rsid w:val="00423054"/>
    <w:rsid w:val="00423771"/>
    <w:rsid w:val="004237CE"/>
    <w:rsid w:val="004238F3"/>
    <w:rsid w:val="00423A8F"/>
    <w:rsid w:val="00423ABE"/>
    <w:rsid w:val="00423CC7"/>
    <w:rsid w:val="00423DE6"/>
    <w:rsid w:val="00424109"/>
    <w:rsid w:val="00424D9F"/>
    <w:rsid w:val="00425009"/>
    <w:rsid w:val="004256BD"/>
    <w:rsid w:val="00425990"/>
    <w:rsid w:val="00425BA7"/>
    <w:rsid w:val="00425EE8"/>
    <w:rsid w:val="0042601F"/>
    <w:rsid w:val="004260C3"/>
    <w:rsid w:val="00426A1E"/>
    <w:rsid w:val="00426B66"/>
    <w:rsid w:val="0042726D"/>
    <w:rsid w:val="004273B1"/>
    <w:rsid w:val="00427829"/>
    <w:rsid w:val="00427AF3"/>
    <w:rsid w:val="00427D2B"/>
    <w:rsid w:val="00430025"/>
    <w:rsid w:val="004305C3"/>
    <w:rsid w:val="00430604"/>
    <w:rsid w:val="0043083E"/>
    <w:rsid w:val="00430C95"/>
    <w:rsid w:val="00431154"/>
    <w:rsid w:val="00431398"/>
    <w:rsid w:val="004314CE"/>
    <w:rsid w:val="00431628"/>
    <w:rsid w:val="004317CA"/>
    <w:rsid w:val="0043198E"/>
    <w:rsid w:val="00431A86"/>
    <w:rsid w:val="00431B49"/>
    <w:rsid w:val="00431BAD"/>
    <w:rsid w:val="00431FBF"/>
    <w:rsid w:val="0043201C"/>
    <w:rsid w:val="004323FC"/>
    <w:rsid w:val="00432994"/>
    <w:rsid w:val="00432CB6"/>
    <w:rsid w:val="00432CC1"/>
    <w:rsid w:val="00432FB3"/>
    <w:rsid w:val="004334D5"/>
    <w:rsid w:val="00433648"/>
    <w:rsid w:val="0043378B"/>
    <w:rsid w:val="00433792"/>
    <w:rsid w:val="0043392C"/>
    <w:rsid w:val="00434015"/>
    <w:rsid w:val="0043407C"/>
    <w:rsid w:val="004340E4"/>
    <w:rsid w:val="00434202"/>
    <w:rsid w:val="00434474"/>
    <w:rsid w:val="004346EE"/>
    <w:rsid w:val="00434805"/>
    <w:rsid w:val="00434939"/>
    <w:rsid w:val="00434DDD"/>
    <w:rsid w:val="00434F39"/>
    <w:rsid w:val="004352E0"/>
    <w:rsid w:val="00435655"/>
    <w:rsid w:val="00435ADA"/>
    <w:rsid w:val="00435BCA"/>
    <w:rsid w:val="00435E14"/>
    <w:rsid w:val="00435F97"/>
    <w:rsid w:val="0043624D"/>
    <w:rsid w:val="00436308"/>
    <w:rsid w:val="0043654A"/>
    <w:rsid w:val="004365C6"/>
    <w:rsid w:val="0043750F"/>
    <w:rsid w:val="004378AA"/>
    <w:rsid w:val="00437EBD"/>
    <w:rsid w:val="00437EF3"/>
    <w:rsid w:val="004400C8"/>
    <w:rsid w:val="0044024F"/>
    <w:rsid w:val="004404D1"/>
    <w:rsid w:val="004408F2"/>
    <w:rsid w:val="00440F20"/>
    <w:rsid w:val="00441584"/>
    <w:rsid w:val="00441B43"/>
    <w:rsid w:val="00441D26"/>
    <w:rsid w:val="00441D27"/>
    <w:rsid w:val="00441E11"/>
    <w:rsid w:val="0044203E"/>
    <w:rsid w:val="00442077"/>
    <w:rsid w:val="004423D0"/>
    <w:rsid w:val="004427BA"/>
    <w:rsid w:val="00442AF9"/>
    <w:rsid w:val="00442DBC"/>
    <w:rsid w:val="00443238"/>
    <w:rsid w:val="004435EB"/>
    <w:rsid w:val="00443A21"/>
    <w:rsid w:val="00443B17"/>
    <w:rsid w:val="00444050"/>
    <w:rsid w:val="004443AA"/>
    <w:rsid w:val="00444627"/>
    <w:rsid w:val="0044465B"/>
    <w:rsid w:val="00444CC4"/>
    <w:rsid w:val="00445F32"/>
    <w:rsid w:val="00446087"/>
    <w:rsid w:val="004468CD"/>
    <w:rsid w:val="00446CDF"/>
    <w:rsid w:val="004471BA"/>
    <w:rsid w:val="00447B61"/>
    <w:rsid w:val="00447F6A"/>
    <w:rsid w:val="00450290"/>
    <w:rsid w:val="004504EA"/>
    <w:rsid w:val="00450FD9"/>
    <w:rsid w:val="00451176"/>
    <w:rsid w:val="004511CB"/>
    <w:rsid w:val="00451675"/>
    <w:rsid w:val="004517FE"/>
    <w:rsid w:val="00451897"/>
    <w:rsid w:val="00451960"/>
    <w:rsid w:val="00451DC4"/>
    <w:rsid w:val="004521C2"/>
    <w:rsid w:val="00452651"/>
    <w:rsid w:val="0045269D"/>
    <w:rsid w:val="00452A6D"/>
    <w:rsid w:val="00452AD1"/>
    <w:rsid w:val="00452D3A"/>
    <w:rsid w:val="00452DD2"/>
    <w:rsid w:val="00453217"/>
    <w:rsid w:val="004532C5"/>
    <w:rsid w:val="00453A17"/>
    <w:rsid w:val="00453A7D"/>
    <w:rsid w:val="00453A82"/>
    <w:rsid w:val="00453C99"/>
    <w:rsid w:val="00453F03"/>
    <w:rsid w:val="0045435F"/>
    <w:rsid w:val="00454858"/>
    <w:rsid w:val="00455202"/>
    <w:rsid w:val="004555E7"/>
    <w:rsid w:val="0045566C"/>
    <w:rsid w:val="00455686"/>
    <w:rsid w:val="00455C9B"/>
    <w:rsid w:val="00455D7B"/>
    <w:rsid w:val="00455E3D"/>
    <w:rsid w:val="0045618E"/>
    <w:rsid w:val="004563B7"/>
    <w:rsid w:val="00456492"/>
    <w:rsid w:val="0045696B"/>
    <w:rsid w:val="00456C1A"/>
    <w:rsid w:val="0045738E"/>
    <w:rsid w:val="00457501"/>
    <w:rsid w:val="004579BC"/>
    <w:rsid w:val="00457CFC"/>
    <w:rsid w:val="00457E67"/>
    <w:rsid w:val="00457EEA"/>
    <w:rsid w:val="00457F7C"/>
    <w:rsid w:val="00460580"/>
    <w:rsid w:val="004606B6"/>
    <w:rsid w:val="00460B52"/>
    <w:rsid w:val="004611AB"/>
    <w:rsid w:val="00461898"/>
    <w:rsid w:val="00461AE2"/>
    <w:rsid w:val="00461BDC"/>
    <w:rsid w:val="00461C40"/>
    <w:rsid w:val="00461D9F"/>
    <w:rsid w:val="004620E2"/>
    <w:rsid w:val="00462419"/>
    <w:rsid w:val="0046294C"/>
    <w:rsid w:val="00462BA5"/>
    <w:rsid w:val="00462C13"/>
    <w:rsid w:val="00462F89"/>
    <w:rsid w:val="004633A5"/>
    <w:rsid w:val="00463428"/>
    <w:rsid w:val="004637BC"/>
    <w:rsid w:val="004638EA"/>
    <w:rsid w:val="00463B64"/>
    <w:rsid w:val="00463DF8"/>
    <w:rsid w:val="00463FC8"/>
    <w:rsid w:val="00464313"/>
    <w:rsid w:val="0046467F"/>
    <w:rsid w:val="00464837"/>
    <w:rsid w:val="00464B7F"/>
    <w:rsid w:val="00464E23"/>
    <w:rsid w:val="00464FF8"/>
    <w:rsid w:val="0046525F"/>
    <w:rsid w:val="004652D6"/>
    <w:rsid w:val="0046531C"/>
    <w:rsid w:val="0046539C"/>
    <w:rsid w:val="0046544A"/>
    <w:rsid w:val="0046548B"/>
    <w:rsid w:val="0046572A"/>
    <w:rsid w:val="00465A51"/>
    <w:rsid w:val="00465B1E"/>
    <w:rsid w:val="00465CE3"/>
    <w:rsid w:val="00465DF2"/>
    <w:rsid w:val="0046634A"/>
    <w:rsid w:val="0046644D"/>
    <w:rsid w:val="004668AA"/>
    <w:rsid w:val="00466AF8"/>
    <w:rsid w:val="00466DC4"/>
    <w:rsid w:val="00466E9D"/>
    <w:rsid w:val="00467064"/>
    <w:rsid w:val="00467C29"/>
    <w:rsid w:val="0047019D"/>
    <w:rsid w:val="004701F7"/>
    <w:rsid w:val="00470435"/>
    <w:rsid w:val="004704D5"/>
    <w:rsid w:val="004704F4"/>
    <w:rsid w:val="004706DD"/>
    <w:rsid w:val="00470894"/>
    <w:rsid w:val="00470DA5"/>
    <w:rsid w:val="00470FFE"/>
    <w:rsid w:val="004710A5"/>
    <w:rsid w:val="0047165B"/>
    <w:rsid w:val="00471696"/>
    <w:rsid w:val="00471B53"/>
    <w:rsid w:val="00471FDA"/>
    <w:rsid w:val="0047273E"/>
    <w:rsid w:val="00472916"/>
    <w:rsid w:val="004731AA"/>
    <w:rsid w:val="004734E0"/>
    <w:rsid w:val="004736B2"/>
    <w:rsid w:val="004736D4"/>
    <w:rsid w:val="004738F9"/>
    <w:rsid w:val="00473B0F"/>
    <w:rsid w:val="00474057"/>
    <w:rsid w:val="004743FF"/>
    <w:rsid w:val="00474F00"/>
    <w:rsid w:val="004751A2"/>
    <w:rsid w:val="00475222"/>
    <w:rsid w:val="004758D3"/>
    <w:rsid w:val="00475B3A"/>
    <w:rsid w:val="00475C28"/>
    <w:rsid w:val="00476050"/>
    <w:rsid w:val="00476082"/>
    <w:rsid w:val="0047608E"/>
    <w:rsid w:val="0047640A"/>
    <w:rsid w:val="0047640D"/>
    <w:rsid w:val="00476DEA"/>
    <w:rsid w:val="00476F2D"/>
    <w:rsid w:val="00477100"/>
    <w:rsid w:val="004777FA"/>
    <w:rsid w:val="00477800"/>
    <w:rsid w:val="00477C49"/>
    <w:rsid w:val="00477FA5"/>
    <w:rsid w:val="0048037C"/>
    <w:rsid w:val="00480646"/>
    <w:rsid w:val="004806DC"/>
    <w:rsid w:val="0048086C"/>
    <w:rsid w:val="00480DF8"/>
    <w:rsid w:val="00480EC5"/>
    <w:rsid w:val="00480F7D"/>
    <w:rsid w:val="00480FE0"/>
    <w:rsid w:val="004810A1"/>
    <w:rsid w:val="0048133F"/>
    <w:rsid w:val="00481371"/>
    <w:rsid w:val="004815C8"/>
    <w:rsid w:val="0048172D"/>
    <w:rsid w:val="0048175E"/>
    <w:rsid w:val="00481B6E"/>
    <w:rsid w:val="00481D32"/>
    <w:rsid w:val="00481D7D"/>
    <w:rsid w:val="00481F8C"/>
    <w:rsid w:val="00482160"/>
    <w:rsid w:val="00482178"/>
    <w:rsid w:val="0048237B"/>
    <w:rsid w:val="004823DE"/>
    <w:rsid w:val="0048260A"/>
    <w:rsid w:val="0048272F"/>
    <w:rsid w:val="00482E2C"/>
    <w:rsid w:val="004830F4"/>
    <w:rsid w:val="0048316D"/>
    <w:rsid w:val="004834DE"/>
    <w:rsid w:val="004838AD"/>
    <w:rsid w:val="00483A76"/>
    <w:rsid w:val="00483AB8"/>
    <w:rsid w:val="00483E94"/>
    <w:rsid w:val="004841ED"/>
    <w:rsid w:val="00484436"/>
    <w:rsid w:val="004846A7"/>
    <w:rsid w:val="004848A7"/>
    <w:rsid w:val="00484F3E"/>
    <w:rsid w:val="00484FE6"/>
    <w:rsid w:val="0048508C"/>
    <w:rsid w:val="00485873"/>
    <w:rsid w:val="00485C11"/>
    <w:rsid w:val="00485D0B"/>
    <w:rsid w:val="0048609A"/>
    <w:rsid w:val="004860B5"/>
    <w:rsid w:val="00486342"/>
    <w:rsid w:val="0048678E"/>
    <w:rsid w:val="004868AB"/>
    <w:rsid w:val="00486CBD"/>
    <w:rsid w:val="004872FC"/>
    <w:rsid w:val="00487AA0"/>
    <w:rsid w:val="00487BED"/>
    <w:rsid w:val="00487CC4"/>
    <w:rsid w:val="00490978"/>
    <w:rsid w:val="00490AC1"/>
    <w:rsid w:val="004916CD"/>
    <w:rsid w:val="0049187A"/>
    <w:rsid w:val="00491AF6"/>
    <w:rsid w:val="004923BE"/>
    <w:rsid w:val="004924A7"/>
    <w:rsid w:val="004925F2"/>
    <w:rsid w:val="0049263E"/>
    <w:rsid w:val="00492A52"/>
    <w:rsid w:val="00492D1B"/>
    <w:rsid w:val="00492DC1"/>
    <w:rsid w:val="0049343F"/>
    <w:rsid w:val="004939B7"/>
    <w:rsid w:val="00493B23"/>
    <w:rsid w:val="00493D2D"/>
    <w:rsid w:val="00493EFB"/>
    <w:rsid w:val="0049443D"/>
    <w:rsid w:val="004947C1"/>
    <w:rsid w:val="00494BE4"/>
    <w:rsid w:val="00494C8A"/>
    <w:rsid w:val="00494F46"/>
    <w:rsid w:val="00494F7A"/>
    <w:rsid w:val="00494FAC"/>
    <w:rsid w:val="00495490"/>
    <w:rsid w:val="00495ED9"/>
    <w:rsid w:val="0049610C"/>
    <w:rsid w:val="00496126"/>
    <w:rsid w:val="00496242"/>
    <w:rsid w:val="00496642"/>
    <w:rsid w:val="00497440"/>
    <w:rsid w:val="00497675"/>
    <w:rsid w:val="004976F7"/>
    <w:rsid w:val="00497AA5"/>
    <w:rsid w:val="00497B86"/>
    <w:rsid w:val="00497D7D"/>
    <w:rsid w:val="00497DB4"/>
    <w:rsid w:val="00497E40"/>
    <w:rsid w:val="00497EDE"/>
    <w:rsid w:val="004A03A3"/>
    <w:rsid w:val="004A0D5A"/>
    <w:rsid w:val="004A0E1B"/>
    <w:rsid w:val="004A0EF1"/>
    <w:rsid w:val="004A12F4"/>
    <w:rsid w:val="004A1D41"/>
    <w:rsid w:val="004A1E63"/>
    <w:rsid w:val="004A2077"/>
    <w:rsid w:val="004A23D5"/>
    <w:rsid w:val="004A2EE5"/>
    <w:rsid w:val="004A33AF"/>
    <w:rsid w:val="004A364B"/>
    <w:rsid w:val="004A3CA0"/>
    <w:rsid w:val="004A3CC8"/>
    <w:rsid w:val="004A3D2E"/>
    <w:rsid w:val="004A3ED5"/>
    <w:rsid w:val="004A3F55"/>
    <w:rsid w:val="004A4089"/>
    <w:rsid w:val="004A464E"/>
    <w:rsid w:val="004A4B22"/>
    <w:rsid w:val="004A4D51"/>
    <w:rsid w:val="004A4F8F"/>
    <w:rsid w:val="004A5062"/>
    <w:rsid w:val="004A59AB"/>
    <w:rsid w:val="004A5AD3"/>
    <w:rsid w:val="004A6247"/>
    <w:rsid w:val="004A66B1"/>
    <w:rsid w:val="004A67CC"/>
    <w:rsid w:val="004A691E"/>
    <w:rsid w:val="004A6E0F"/>
    <w:rsid w:val="004A6E8E"/>
    <w:rsid w:val="004A73E5"/>
    <w:rsid w:val="004A7422"/>
    <w:rsid w:val="004A779F"/>
    <w:rsid w:val="004A7B1D"/>
    <w:rsid w:val="004B12B4"/>
    <w:rsid w:val="004B16B6"/>
    <w:rsid w:val="004B1825"/>
    <w:rsid w:val="004B1975"/>
    <w:rsid w:val="004B1C7C"/>
    <w:rsid w:val="004B1D43"/>
    <w:rsid w:val="004B2229"/>
    <w:rsid w:val="004B225E"/>
    <w:rsid w:val="004B36C6"/>
    <w:rsid w:val="004B388D"/>
    <w:rsid w:val="004B3D55"/>
    <w:rsid w:val="004B4022"/>
    <w:rsid w:val="004B42D8"/>
    <w:rsid w:val="004B4569"/>
    <w:rsid w:val="004B47CC"/>
    <w:rsid w:val="004B4842"/>
    <w:rsid w:val="004B4B5C"/>
    <w:rsid w:val="004B4B89"/>
    <w:rsid w:val="004B4DE5"/>
    <w:rsid w:val="004B5691"/>
    <w:rsid w:val="004B5A39"/>
    <w:rsid w:val="004B5DC7"/>
    <w:rsid w:val="004B6345"/>
    <w:rsid w:val="004B643C"/>
    <w:rsid w:val="004B750C"/>
    <w:rsid w:val="004B7565"/>
    <w:rsid w:val="004B794E"/>
    <w:rsid w:val="004B7E74"/>
    <w:rsid w:val="004C0270"/>
    <w:rsid w:val="004C1452"/>
    <w:rsid w:val="004C1525"/>
    <w:rsid w:val="004C1747"/>
    <w:rsid w:val="004C1AF5"/>
    <w:rsid w:val="004C1F2B"/>
    <w:rsid w:val="004C2341"/>
    <w:rsid w:val="004C2AFD"/>
    <w:rsid w:val="004C2BD7"/>
    <w:rsid w:val="004C334A"/>
    <w:rsid w:val="004C3571"/>
    <w:rsid w:val="004C3AEC"/>
    <w:rsid w:val="004C456D"/>
    <w:rsid w:val="004C4ABE"/>
    <w:rsid w:val="004C52C4"/>
    <w:rsid w:val="004C54D2"/>
    <w:rsid w:val="004C5EF1"/>
    <w:rsid w:val="004C63BA"/>
    <w:rsid w:val="004C65EC"/>
    <w:rsid w:val="004C671D"/>
    <w:rsid w:val="004C682C"/>
    <w:rsid w:val="004C6F3A"/>
    <w:rsid w:val="004C7A81"/>
    <w:rsid w:val="004C7BA4"/>
    <w:rsid w:val="004C7F4F"/>
    <w:rsid w:val="004D038B"/>
    <w:rsid w:val="004D0856"/>
    <w:rsid w:val="004D0BEC"/>
    <w:rsid w:val="004D10FF"/>
    <w:rsid w:val="004D1231"/>
    <w:rsid w:val="004D14CD"/>
    <w:rsid w:val="004D155C"/>
    <w:rsid w:val="004D171A"/>
    <w:rsid w:val="004D1816"/>
    <w:rsid w:val="004D23F8"/>
    <w:rsid w:val="004D2491"/>
    <w:rsid w:val="004D24FB"/>
    <w:rsid w:val="004D28D0"/>
    <w:rsid w:val="004D29F7"/>
    <w:rsid w:val="004D2BF9"/>
    <w:rsid w:val="004D2E48"/>
    <w:rsid w:val="004D2F69"/>
    <w:rsid w:val="004D3704"/>
    <w:rsid w:val="004D39B5"/>
    <w:rsid w:val="004D3B12"/>
    <w:rsid w:val="004D3B50"/>
    <w:rsid w:val="004D3F36"/>
    <w:rsid w:val="004D3FC4"/>
    <w:rsid w:val="004D43F3"/>
    <w:rsid w:val="004D4460"/>
    <w:rsid w:val="004D48E0"/>
    <w:rsid w:val="004D4D65"/>
    <w:rsid w:val="004D4DFA"/>
    <w:rsid w:val="004D5360"/>
    <w:rsid w:val="004D53DE"/>
    <w:rsid w:val="004D547A"/>
    <w:rsid w:val="004D57F8"/>
    <w:rsid w:val="004D5A5F"/>
    <w:rsid w:val="004D5BE0"/>
    <w:rsid w:val="004D5F67"/>
    <w:rsid w:val="004D6345"/>
    <w:rsid w:val="004D6726"/>
    <w:rsid w:val="004D6A82"/>
    <w:rsid w:val="004D6AFF"/>
    <w:rsid w:val="004D6D9F"/>
    <w:rsid w:val="004D76A5"/>
    <w:rsid w:val="004D76C3"/>
    <w:rsid w:val="004D7996"/>
    <w:rsid w:val="004D7B64"/>
    <w:rsid w:val="004D7E1F"/>
    <w:rsid w:val="004E039D"/>
    <w:rsid w:val="004E0407"/>
    <w:rsid w:val="004E052E"/>
    <w:rsid w:val="004E05B3"/>
    <w:rsid w:val="004E0688"/>
    <w:rsid w:val="004E097F"/>
    <w:rsid w:val="004E0A29"/>
    <w:rsid w:val="004E0F84"/>
    <w:rsid w:val="004E10E7"/>
    <w:rsid w:val="004E126C"/>
    <w:rsid w:val="004E13EA"/>
    <w:rsid w:val="004E1662"/>
    <w:rsid w:val="004E183A"/>
    <w:rsid w:val="004E1BEA"/>
    <w:rsid w:val="004E1D3D"/>
    <w:rsid w:val="004E20E5"/>
    <w:rsid w:val="004E2518"/>
    <w:rsid w:val="004E2959"/>
    <w:rsid w:val="004E2A3C"/>
    <w:rsid w:val="004E2C5B"/>
    <w:rsid w:val="004E320C"/>
    <w:rsid w:val="004E3253"/>
    <w:rsid w:val="004E3414"/>
    <w:rsid w:val="004E34FD"/>
    <w:rsid w:val="004E3BA4"/>
    <w:rsid w:val="004E3CE2"/>
    <w:rsid w:val="004E3D94"/>
    <w:rsid w:val="004E3E05"/>
    <w:rsid w:val="004E3FDF"/>
    <w:rsid w:val="004E4328"/>
    <w:rsid w:val="004E49CD"/>
    <w:rsid w:val="004E4F3B"/>
    <w:rsid w:val="004E511B"/>
    <w:rsid w:val="004E59EF"/>
    <w:rsid w:val="004E61CE"/>
    <w:rsid w:val="004E6363"/>
    <w:rsid w:val="004E6540"/>
    <w:rsid w:val="004E683E"/>
    <w:rsid w:val="004E68AA"/>
    <w:rsid w:val="004E6937"/>
    <w:rsid w:val="004E6986"/>
    <w:rsid w:val="004E6AA8"/>
    <w:rsid w:val="004E6CBC"/>
    <w:rsid w:val="004E6D1A"/>
    <w:rsid w:val="004E6DE4"/>
    <w:rsid w:val="004E6E76"/>
    <w:rsid w:val="004E6F8E"/>
    <w:rsid w:val="004E75C4"/>
    <w:rsid w:val="004E7A7C"/>
    <w:rsid w:val="004E7BBE"/>
    <w:rsid w:val="004E7CC5"/>
    <w:rsid w:val="004F00AC"/>
    <w:rsid w:val="004F01D0"/>
    <w:rsid w:val="004F0201"/>
    <w:rsid w:val="004F084A"/>
    <w:rsid w:val="004F0AEF"/>
    <w:rsid w:val="004F0B80"/>
    <w:rsid w:val="004F0C4F"/>
    <w:rsid w:val="004F0D0D"/>
    <w:rsid w:val="004F0D8F"/>
    <w:rsid w:val="004F0F1A"/>
    <w:rsid w:val="004F111F"/>
    <w:rsid w:val="004F15E1"/>
    <w:rsid w:val="004F1807"/>
    <w:rsid w:val="004F1871"/>
    <w:rsid w:val="004F1880"/>
    <w:rsid w:val="004F1BFB"/>
    <w:rsid w:val="004F25CC"/>
    <w:rsid w:val="004F25F2"/>
    <w:rsid w:val="004F2654"/>
    <w:rsid w:val="004F2A41"/>
    <w:rsid w:val="004F2B65"/>
    <w:rsid w:val="004F2B9E"/>
    <w:rsid w:val="004F2CD9"/>
    <w:rsid w:val="004F30EA"/>
    <w:rsid w:val="004F3F08"/>
    <w:rsid w:val="004F4205"/>
    <w:rsid w:val="004F4804"/>
    <w:rsid w:val="004F4B33"/>
    <w:rsid w:val="004F4E1F"/>
    <w:rsid w:val="004F5BC2"/>
    <w:rsid w:val="004F5D10"/>
    <w:rsid w:val="004F6195"/>
    <w:rsid w:val="004F6352"/>
    <w:rsid w:val="004F6704"/>
    <w:rsid w:val="004F6E38"/>
    <w:rsid w:val="004F7061"/>
    <w:rsid w:val="004F712A"/>
    <w:rsid w:val="004F774D"/>
    <w:rsid w:val="004F7E66"/>
    <w:rsid w:val="00500249"/>
    <w:rsid w:val="00500483"/>
    <w:rsid w:val="0050084E"/>
    <w:rsid w:val="00500C1A"/>
    <w:rsid w:val="00501231"/>
    <w:rsid w:val="00501235"/>
    <w:rsid w:val="00501513"/>
    <w:rsid w:val="005016D4"/>
    <w:rsid w:val="0050174C"/>
    <w:rsid w:val="00501C36"/>
    <w:rsid w:val="00502322"/>
    <w:rsid w:val="00502336"/>
    <w:rsid w:val="005027AF"/>
    <w:rsid w:val="005029C2"/>
    <w:rsid w:val="00502DEC"/>
    <w:rsid w:val="00502E73"/>
    <w:rsid w:val="00502FD0"/>
    <w:rsid w:val="005030D3"/>
    <w:rsid w:val="005036CA"/>
    <w:rsid w:val="00503861"/>
    <w:rsid w:val="00503B0B"/>
    <w:rsid w:val="00503BA7"/>
    <w:rsid w:val="00503D2C"/>
    <w:rsid w:val="00504011"/>
    <w:rsid w:val="0050410A"/>
    <w:rsid w:val="00504264"/>
    <w:rsid w:val="005046CD"/>
    <w:rsid w:val="00504737"/>
    <w:rsid w:val="00504F4B"/>
    <w:rsid w:val="00505208"/>
    <w:rsid w:val="005054AE"/>
    <w:rsid w:val="00505606"/>
    <w:rsid w:val="005057DD"/>
    <w:rsid w:val="00505C42"/>
    <w:rsid w:val="00505CC6"/>
    <w:rsid w:val="00506C09"/>
    <w:rsid w:val="00506CBD"/>
    <w:rsid w:val="00506E8A"/>
    <w:rsid w:val="005070F9"/>
    <w:rsid w:val="00507D62"/>
    <w:rsid w:val="0051009B"/>
    <w:rsid w:val="005100C6"/>
    <w:rsid w:val="005100FF"/>
    <w:rsid w:val="00510377"/>
    <w:rsid w:val="0051077E"/>
    <w:rsid w:val="00510F7E"/>
    <w:rsid w:val="005110BC"/>
    <w:rsid w:val="005113D1"/>
    <w:rsid w:val="005113DD"/>
    <w:rsid w:val="00511E9D"/>
    <w:rsid w:val="0051222D"/>
    <w:rsid w:val="005124F7"/>
    <w:rsid w:val="00512515"/>
    <w:rsid w:val="00512707"/>
    <w:rsid w:val="005127F4"/>
    <w:rsid w:val="0051292E"/>
    <w:rsid w:val="005129E8"/>
    <w:rsid w:val="00512DCB"/>
    <w:rsid w:val="00513204"/>
    <w:rsid w:val="0051345D"/>
    <w:rsid w:val="00513AB9"/>
    <w:rsid w:val="00513BA8"/>
    <w:rsid w:val="00513D80"/>
    <w:rsid w:val="0051409A"/>
    <w:rsid w:val="0051463C"/>
    <w:rsid w:val="00514CC1"/>
    <w:rsid w:val="00514D1D"/>
    <w:rsid w:val="00515185"/>
    <w:rsid w:val="00515FED"/>
    <w:rsid w:val="0051608A"/>
    <w:rsid w:val="00516475"/>
    <w:rsid w:val="00516797"/>
    <w:rsid w:val="005168D7"/>
    <w:rsid w:val="00516944"/>
    <w:rsid w:val="00517400"/>
    <w:rsid w:val="00517785"/>
    <w:rsid w:val="005177D5"/>
    <w:rsid w:val="00517A72"/>
    <w:rsid w:val="00517AA2"/>
    <w:rsid w:val="00517CFD"/>
    <w:rsid w:val="0052003E"/>
    <w:rsid w:val="0052023E"/>
    <w:rsid w:val="00520475"/>
    <w:rsid w:val="005205AA"/>
    <w:rsid w:val="005206A0"/>
    <w:rsid w:val="00520AA0"/>
    <w:rsid w:val="00520E2F"/>
    <w:rsid w:val="00520FB3"/>
    <w:rsid w:val="00521801"/>
    <w:rsid w:val="00521846"/>
    <w:rsid w:val="00521BEB"/>
    <w:rsid w:val="00521E2D"/>
    <w:rsid w:val="00522032"/>
    <w:rsid w:val="0052236D"/>
    <w:rsid w:val="005224C9"/>
    <w:rsid w:val="0052270F"/>
    <w:rsid w:val="00522893"/>
    <w:rsid w:val="00522A60"/>
    <w:rsid w:val="0052396A"/>
    <w:rsid w:val="005239FA"/>
    <w:rsid w:val="00523A8D"/>
    <w:rsid w:val="00523F5B"/>
    <w:rsid w:val="0052429F"/>
    <w:rsid w:val="0052460F"/>
    <w:rsid w:val="00524880"/>
    <w:rsid w:val="00524A9C"/>
    <w:rsid w:val="00524B25"/>
    <w:rsid w:val="00524E69"/>
    <w:rsid w:val="00524FF6"/>
    <w:rsid w:val="00525407"/>
    <w:rsid w:val="00525983"/>
    <w:rsid w:val="00525E94"/>
    <w:rsid w:val="00525F51"/>
    <w:rsid w:val="00526056"/>
    <w:rsid w:val="00526277"/>
    <w:rsid w:val="00526EA8"/>
    <w:rsid w:val="0052728A"/>
    <w:rsid w:val="005272D5"/>
    <w:rsid w:val="00527597"/>
    <w:rsid w:val="005276EA"/>
    <w:rsid w:val="00527882"/>
    <w:rsid w:val="005279AD"/>
    <w:rsid w:val="00527E38"/>
    <w:rsid w:val="00527E48"/>
    <w:rsid w:val="0053035D"/>
    <w:rsid w:val="005303E3"/>
    <w:rsid w:val="00530736"/>
    <w:rsid w:val="0053080D"/>
    <w:rsid w:val="00530822"/>
    <w:rsid w:val="00530C89"/>
    <w:rsid w:val="005314CA"/>
    <w:rsid w:val="005318A2"/>
    <w:rsid w:val="0053192C"/>
    <w:rsid w:val="00531C88"/>
    <w:rsid w:val="00531D0E"/>
    <w:rsid w:val="00531DC1"/>
    <w:rsid w:val="00531FEB"/>
    <w:rsid w:val="005323CB"/>
    <w:rsid w:val="005326E8"/>
    <w:rsid w:val="00533278"/>
    <w:rsid w:val="00533368"/>
    <w:rsid w:val="00533658"/>
    <w:rsid w:val="00533A30"/>
    <w:rsid w:val="00533B5D"/>
    <w:rsid w:val="00533B8C"/>
    <w:rsid w:val="00533CB4"/>
    <w:rsid w:val="00533D7D"/>
    <w:rsid w:val="00533DD5"/>
    <w:rsid w:val="005341EB"/>
    <w:rsid w:val="00534232"/>
    <w:rsid w:val="00534272"/>
    <w:rsid w:val="00534306"/>
    <w:rsid w:val="00534426"/>
    <w:rsid w:val="00534446"/>
    <w:rsid w:val="005346FA"/>
    <w:rsid w:val="00534DCA"/>
    <w:rsid w:val="00534DEB"/>
    <w:rsid w:val="00534F8C"/>
    <w:rsid w:val="00534FA6"/>
    <w:rsid w:val="005351E8"/>
    <w:rsid w:val="00535390"/>
    <w:rsid w:val="0053570C"/>
    <w:rsid w:val="005358F0"/>
    <w:rsid w:val="00535B1B"/>
    <w:rsid w:val="00535B51"/>
    <w:rsid w:val="00535B60"/>
    <w:rsid w:val="00535BD2"/>
    <w:rsid w:val="00535FA3"/>
    <w:rsid w:val="00536ABB"/>
    <w:rsid w:val="00536AF2"/>
    <w:rsid w:val="00536B3B"/>
    <w:rsid w:val="00536CE2"/>
    <w:rsid w:val="00536DD4"/>
    <w:rsid w:val="00536E4F"/>
    <w:rsid w:val="0053726D"/>
    <w:rsid w:val="0053741A"/>
    <w:rsid w:val="005375A4"/>
    <w:rsid w:val="00537A44"/>
    <w:rsid w:val="00537D58"/>
    <w:rsid w:val="00540330"/>
    <w:rsid w:val="005405EB"/>
    <w:rsid w:val="00540610"/>
    <w:rsid w:val="005408D3"/>
    <w:rsid w:val="00540B32"/>
    <w:rsid w:val="00540B59"/>
    <w:rsid w:val="005416DB"/>
    <w:rsid w:val="00541751"/>
    <w:rsid w:val="00541839"/>
    <w:rsid w:val="00541841"/>
    <w:rsid w:val="00541894"/>
    <w:rsid w:val="00541A7A"/>
    <w:rsid w:val="00541B3D"/>
    <w:rsid w:val="00542042"/>
    <w:rsid w:val="00542132"/>
    <w:rsid w:val="00542943"/>
    <w:rsid w:val="00542AA8"/>
    <w:rsid w:val="00542F68"/>
    <w:rsid w:val="00542FDA"/>
    <w:rsid w:val="005432C4"/>
    <w:rsid w:val="005433E9"/>
    <w:rsid w:val="005435EF"/>
    <w:rsid w:val="005436DB"/>
    <w:rsid w:val="00543736"/>
    <w:rsid w:val="0054416C"/>
    <w:rsid w:val="0054419B"/>
    <w:rsid w:val="00544303"/>
    <w:rsid w:val="00544869"/>
    <w:rsid w:val="00544AF9"/>
    <w:rsid w:val="00544B55"/>
    <w:rsid w:val="00544F3A"/>
    <w:rsid w:val="00545114"/>
    <w:rsid w:val="005451EE"/>
    <w:rsid w:val="0054561D"/>
    <w:rsid w:val="005458C8"/>
    <w:rsid w:val="00545EA0"/>
    <w:rsid w:val="005461CE"/>
    <w:rsid w:val="005461ED"/>
    <w:rsid w:val="005463AE"/>
    <w:rsid w:val="005465AD"/>
    <w:rsid w:val="005467E9"/>
    <w:rsid w:val="0054698E"/>
    <w:rsid w:val="00546A15"/>
    <w:rsid w:val="00546A8E"/>
    <w:rsid w:val="00546B0A"/>
    <w:rsid w:val="00546E7F"/>
    <w:rsid w:val="00547112"/>
    <w:rsid w:val="005471A2"/>
    <w:rsid w:val="0054738D"/>
    <w:rsid w:val="005475C6"/>
    <w:rsid w:val="00547BA7"/>
    <w:rsid w:val="00547CF2"/>
    <w:rsid w:val="00550124"/>
    <w:rsid w:val="00550553"/>
    <w:rsid w:val="0055078A"/>
    <w:rsid w:val="005508A0"/>
    <w:rsid w:val="00550A6D"/>
    <w:rsid w:val="00550AD1"/>
    <w:rsid w:val="00550D1B"/>
    <w:rsid w:val="00550EC6"/>
    <w:rsid w:val="005511A7"/>
    <w:rsid w:val="005513CA"/>
    <w:rsid w:val="0055176C"/>
    <w:rsid w:val="00551C1A"/>
    <w:rsid w:val="00551C28"/>
    <w:rsid w:val="00551D83"/>
    <w:rsid w:val="00551E03"/>
    <w:rsid w:val="00551E0C"/>
    <w:rsid w:val="00552639"/>
    <w:rsid w:val="00553161"/>
    <w:rsid w:val="00553231"/>
    <w:rsid w:val="0055365A"/>
    <w:rsid w:val="00553CC5"/>
    <w:rsid w:val="00553D57"/>
    <w:rsid w:val="00553DC3"/>
    <w:rsid w:val="00553FD2"/>
    <w:rsid w:val="00554198"/>
    <w:rsid w:val="0055441F"/>
    <w:rsid w:val="005547E7"/>
    <w:rsid w:val="005547F5"/>
    <w:rsid w:val="00554B8E"/>
    <w:rsid w:val="005559D9"/>
    <w:rsid w:val="00555A74"/>
    <w:rsid w:val="00555E32"/>
    <w:rsid w:val="00556125"/>
    <w:rsid w:val="005562FE"/>
    <w:rsid w:val="00556568"/>
    <w:rsid w:val="0055679C"/>
    <w:rsid w:val="00556AA1"/>
    <w:rsid w:val="00556CB8"/>
    <w:rsid w:val="00557088"/>
    <w:rsid w:val="0055718A"/>
    <w:rsid w:val="00557279"/>
    <w:rsid w:val="0056036D"/>
    <w:rsid w:val="00560A00"/>
    <w:rsid w:val="005610B6"/>
    <w:rsid w:val="0056120D"/>
    <w:rsid w:val="0056133E"/>
    <w:rsid w:val="0056148F"/>
    <w:rsid w:val="00561B8C"/>
    <w:rsid w:val="00561CC7"/>
    <w:rsid w:val="00561F07"/>
    <w:rsid w:val="005623FF"/>
    <w:rsid w:val="00562654"/>
    <w:rsid w:val="005627ED"/>
    <w:rsid w:val="00563229"/>
    <w:rsid w:val="00563614"/>
    <w:rsid w:val="0056366B"/>
    <w:rsid w:val="00563732"/>
    <w:rsid w:val="005637CB"/>
    <w:rsid w:val="005637D6"/>
    <w:rsid w:val="00563881"/>
    <w:rsid w:val="0056396B"/>
    <w:rsid w:val="00563B3A"/>
    <w:rsid w:val="00563B4F"/>
    <w:rsid w:val="0056405B"/>
    <w:rsid w:val="00564167"/>
    <w:rsid w:val="005643A7"/>
    <w:rsid w:val="005645AC"/>
    <w:rsid w:val="0056464E"/>
    <w:rsid w:val="005648A1"/>
    <w:rsid w:val="005648DE"/>
    <w:rsid w:val="00564E5A"/>
    <w:rsid w:val="00564EB8"/>
    <w:rsid w:val="00564ED7"/>
    <w:rsid w:val="005654C6"/>
    <w:rsid w:val="00565683"/>
    <w:rsid w:val="00565923"/>
    <w:rsid w:val="00566274"/>
    <w:rsid w:val="005664EC"/>
    <w:rsid w:val="00566846"/>
    <w:rsid w:val="00566EFD"/>
    <w:rsid w:val="00566FEC"/>
    <w:rsid w:val="00567318"/>
    <w:rsid w:val="00567607"/>
    <w:rsid w:val="0056760F"/>
    <w:rsid w:val="00567614"/>
    <w:rsid w:val="005676EF"/>
    <w:rsid w:val="005677D6"/>
    <w:rsid w:val="0056781D"/>
    <w:rsid w:val="005678B5"/>
    <w:rsid w:val="00567990"/>
    <w:rsid w:val="00567C85"/>
    <w:rsid w:val="00570058"/>
    <w:rsid w:val="0057034D"/>
    <w:rsid w:val="00570477"/>
    <w:rsid w:val="005705AF"/>
    <w:rsid w:val="005709A2"/>
    <w:rsid w:val="00570D90"/>
    <w:rsid w:val="00570DC5"/>
    <w:rsid w:val="005712B8"/>
    <w:rsid w:val="005712FB"/>
    <w:rsid w:val="00571466"/>
    <w:rsid w:val="0057251E"/>
    <w:rsid w:val="00572A89"/>
    <w:rsid w:val="00572FBF"/>
    <w:rsid w:val="005731B6"/>
    <w:rsid w:val="00573298"/>
    <w:rsid w:val="0057359E"/>
    <w:rsid w:val="00573705"/>
    <w:rsid w:val="00573E5B"/>
    <w:rsid w:val="0057427F"/>
    <w:rsid w:val="00574497"/>
    <w:rsid w:val="0057499E"/>
    <w:rsid w:val="005749A6"/>
    <w:rsid w:val="00574A2C"/>
    <w:rsid w:val="00574BE2"/>
    <w:rsid w:val="00574F79"/>
    <w:rsid w:val="00575390"/>
    <w:rsid w:val="005755F0"/>
    <w:rsid w:val="00575EEE"/>
    <w:rsid w:val="0057633A"/>
    <w:rsid w:val="005763AF"/>
    <w:rsid w:val="00576DA0"/>
    <w:rsid w:val="00577308"/>
    <w:rsid w:val="00577355"/>
    <w:rsid w:val="005774BC"/>
    <w:rsid w:val="005775D4"/>
    <w:rsid w:val="00577619"/>
    <w:rsid w:val="00577794"/>
    <w:rsid w:val="005777AF"/>
    <w:rsid w:val="00577F22"/>
    <w:rsid w:val="00580142"/>
    <w:rsid w:val="00580DE7"/>
    <w:rsid w:val="0058152B"/>
    <w:rsid w:val="00581653"/>
    <w:rsid w:val="0058196B"/>
    <w:rsid w:val="005820BA"/>
    <w:rsid w:val="00582281"/>
    <w:rsid w:val="00582A02"/>
    <w:rsid w:val="00582B7B"/>
    <w:rsid w:val="00582EB3"/>
    <w:rsid w:val="00583243"/>
    <w:rsid w:val="005834F7"/>
    <w:rsid w:val="00583682"/>
    <w:rsid w:val="00583BC8"/>
    <w:rsid w:val="0058469B"/>
    <w:rsid w:val="005846ED"/>
    <w:rsid w:val="00584BA4"/>
    <w:rsid w:val="00584E61"/>
    <w:rsid w:val="00584E74"/>
    <w:rsid w:val="0058552F"/>
    <w:rsid w:val="00585B38"/>
    <w:rsid w:val="00585E14"/>
    <w:rsid w:val="005867E2"/>
    <w:rsid w:val="005868C8"/>
    <w:rsid w:val="00586E4C"/>
    <w:rsid w:val="005871A9"/>
    <w:rsid w:val="00587787"/>
    <w:rsid w:val="0058778A"/>
    <w:rsid w:val="00587BB2"/>
    <w:rsid w:val="0059017A"/>
    <w:rsid w:val="005903C7"/>
    <w:rsid w:val="0059059D"/>
    <w:rsid w:val="005906FC"/>
    <w:rsid w:val="0059087A"/>
    <w:rsid w:val="00590A36"/>
    <w:rsid w:val="00590A52"/>
    <w:rsid w:val="00590AE4"/>
    <w:rsid w:val="00590D45"/>
    <w:rsid w:val="005913E1"/>
    <w:rsid w:val="005917BA"/>
    <w:rsid w:val="00591AEE"/>
    <w:rsid w:val="00591B45"/>
    <w:rsid w:val="00591C84"/>
    <w:rsid w:val="00591CB8"/>
    <w:rsid w:val="00591D72"/>
    <w:rsid w:val="00591DA3"/>
    <w:rsid w:val="00591DED"/>
    <w:rsid w:val="005922E2"/>
    <w:rsid w:val="0059240E"/>
    <w:rsid w:val="00592566"/>
    <w:rsid w:val="00592707"/>
    <w:rsid w:val="00592736"/>
    <w:rsid w:val="00592865"/>
    <w:rsid w:val="005928E6"/>
    <w:rsid w:val="0059354B"/>
    <w:rsid w:val="005937BA"/>
    <w:rsid w:val="005939D8"/>
    <w:rsid w:val="00593A03"/>
    <w:rsid w:val="00593A5E"/>
    <w:rsid w:val="00593B39"/>
    <w:rsid w:val="00593B95"/>
    <w:rsid w:val="00593C5C"/>
    <w:rsid w:val="00593DE2"/>
    <w:rsid w:val="005943E3"/>
    <w:rsid w:val="0059441C"/>
    <w:rsid w:val="00594680"/>
    <w:rsid w:val="00594D21"/>
    <w:rsid w:val="00594D53"/>
    <w:rsid w:val="00595039"/>
    <w:rsid w:val="005954CD"/>
    <w:rsid w:val="00595BC7"/>
    <w:rsid w:val="00595CBE"/>
    <w:rsid w:val="005967A7"/>
    <w:rsid w:val="0059684A"/>
    <w:rsid w:val="0059690F"/>
    <w:rsid w:val="00596953"/>
    <w:rsid w:val="00596C59"/>
    <w:rsid w:val="00596D84"/>
    <w:rsid w:val="005970EF"/>
    <w:rsid w:val="00597182"/>
    <w:rsid w:val="0059723C"/>
    <w:rsid w:val="0059742B"/>
    <w:rsid w:val="00597527"/>
    <w:rsid w:val="0059793E"/>
    <w:rsid w:val="00597B0D"/>
    <w:rsid w:val="00597B69"/>
    <w:rsid w:val="005A003F"/>
    <w:rsid w:val="005A01BE"/>
    <w:rsid w:val="005A02E0"/>
    <w:rsid w:val="005A02E3"/>
    <w:rsid w:val="005A0B65"/>
    <w:rsid w:val="005A0D3C"/>
    <w:rsid w:val="005A1101"/>
    <w:rsid w:val="005A112B"/>
    <w:rsid w:val="005A1A53"/>
    <w:rsid w:val="005A1B94"/>
    <w:rsid w:val="005A1CE2"/>
    <w:rsid w:val="005A203D"/>
    <w:rsid w:val="005A22FB"/>
    <w:rsid w:val="005A2383"/>
    <w:rsid w:val="005A27C8"/>
    <w:rsid w:val="005A2B46"/>
    <w:rsid w:val="005A2BFB"/>
    <w:rsid w:val="005A3445"/>
    <w:rsid w:val="005A3491"/>
    <w:rsid w:val="005A407C"/>
    <w:rsid w:val="005A4556"/>
    <w:rsid w:val="005A47DB"/>
    <w:rsid w:val="005A4AEF"/>
    <w:rsid w:val="005A51A5"/>
    <w:rsid w:val="005A53BB"/>
    <w:rsid w:val="005A5F89"/>
    <w:rsid w:val="005A62BF"/>
    <w:rsid w:val="005A6605"/>
    <w:rsid w:val="005A66C7"/>
    <w:rsid w:val="005A686D"/>
    <w:rsid w:val="005A69A3"/>
    <w:rsid w:val="005A6C5B"/>
    <w:rsid w:val="005A6E21"/>
    <w:rsid w:val="005A6F63"/>
    <w:rsid w:val="005A7081"/>
    <w:rsid w:val="005A72D7"/>
    <w:rsid w:val="005A7910"/>
    <w:rsid w:val="005A7C9A"/>
    <w:rsid w:val="005A7CAC"/>
    <w:rsid w:val="005A7F72"/>
    <w:rsid w:val="005A7F8B"/>
    <w:rsid w:val="005B0030"/>
    <w:rsid w:val="005B01CF"/>
    <w:rsid w:val="005B0CB5"/>
    <w:rsid w:val="005B0D69"/>
    <w:rsid w:val="005B10B7"/>
    <w:rsid w:val="005B10BB"/>
    <w:rsid w:val="005B1A34"/>
    <w:rsid w:val="005B1AA8"/>
    <w:rsid w:val="005B1B50"/>
    <w:rsid w:val="005B1D8A"/>
    <w:rsid w:val="005B1DBE"/>
    <w:rsid w:val="005B266A"/>
    <w:rsid w:val="005B2676"/>
    <w:rsid w:val="005B26A1"/>
    <w:rsid w:val="005B27A4"/>
    <w:rsid w:val="005B2B7C"/>
    <w:rsid w:val="005B2F8F"/>
    <w:rsid w:val="005B33F2"/>
    <w:rsid w:val="005B3A92"/>
    <w:rsid w:val="005B3B20"/>
    <w:rsid w:val="005B3FE3"/>
    <w:rsid w:val="005B4019"/>
    <w:rsid w:val="005B40DB"/>
    <w:rsid w:val="005B4644"/>
    <w:rsid w:val="005B4A6B"/>
    <w:rsid w:val="005B4BAD"/>
    <w:rsid w:val="005B53DD"/>
    <w:rsid w:val="005B662A"/>
    <w:rsid w:val="005B704B"/>
    <w:rsid w:val="005B74C6"/>
    <w:rsid w:val="005B7A16"/>
    <w:rsid w:val="005B7B54"/>
    <w:rsid w:val="005B7E96"/>
    <w:rsid w:val="005C00D1"/>
    <w:rsid w:val="005C050C"/>
    <w:rsid w:val="005C067E"/>
    <w:rsid w:val="005C10EB"/>
    <w:rsid w:val="005C110F"/>
    <w:rsid w:val="005C14F2"/>
    <w:rsid w:val="005C1678"/>
    <w:rsid w:val="005C1A3A"/>
    <w:rsid w:val="005C2193"/>
    <w:rsid w:val="005C23B4"/>
    <w:rsid w:val="005C268E"/>
    <w:rsid w:val="005C2914"/>
    <w:rsid w:val="005C2CE1"/>
    <w:rsid w:val="005C2F00"/>
    <w:rsid w:val="005C3355"/>
    <w:rsid w:val="005C3555"/>
    <w:rsid w:val="005C386D"/>
    <w:rsid w:val="005C3CA1"/>
    <w:rsid w:val="005C4081"/>
    <w:rsid w:val="005C451F"/>
    <w:rsid w:val="005C5614"/>
    <w:rsid w:val="005C5A97"/>
    <w:rsid w:val="005C5ADD"/>
    <w:rsid w:val="005C601C"/>
    <w:rsid w:val="005C6137"/>
    <w:rsid w:val="005C715A"/>
    <w:rsid w:val="005C72A2"/>
    <w:rsid w:val="005C7901"/>
    <w:rsid w:val="005C7A2B"/>
    <w:rsid w:val="005C7AB8"/>
    <w:rsid w:val="005C7B78"/>
    <w:rsid w:val="005C7BEE"/>
    <w:rsid w:val="005C7C20"/>
    <w:rsid w:val="005C7F4B"/>
    <w:rsid w:val="005D0285"/>
    <w:rsid w:val="005D044F"/>
    <w:rsid w:val="005D07CC"/>
    <w:rsid w:val="005D0DA5"/>
    <w:rsid w:val="005D0F83"/>
    <w:rsid w:val="005D103A"/>
    <w:rsid w:val="005D1354"/>
    <w:rsid w:val="005D1360"/>
    <w:rsid w:val="005D14B0"/>
    <w:rsid w:val="005D1C72"/>
    <w:rsid w:val="005D1F97"/>
    <w:rsid w:val="005D24ED"/>
    <w:rsid w:val="005D2504"/>
    <w:rsid w:val="005D2A30"/>
    <w:rsid w:val="005D2B03"/>
    <w:rsid w:val="005D2B83"/>
    <w:rsid w:val="005D2C53"/>
    <w:rsid w:val="005D37C0"/>
    <w:rsid w:val="005D3FEE"/>
    <w:rsid w:val="005D410C"/>
    <w:rsid w:val="005D46AE"/>
    <w:rsid w:val="005D4C0B"/>
    <w:rsid w:val="005D4DB7"/>
    <w:rsid w:val="005D5282"/>
    <w:rsid w:val="005D5486"/>
    <w:rsid w:val="005D5637"/>
    <w:rsid w:val="005D5A33"/>
    <w:rsid w:val="005D601B"/>
    <w:rsid w:val="005D6653"/>
    <w:rsid w:val="005D6692"/>
    <w:rsid w:val="005D69C4"/>
    <w:rsid w:val="005D6CE7"/>
    <w:rsid w:val="005D7025"/>
    <w:rsid w:val="005D741F"/>
    <w:rsid w:val="005D7D2A"/>
    <w:rsid w:val="005E00FB"/>
    <w:rsid w:val="005E0137"/>
    <w:rsid w:val="005E035C"/>
    <w:rsid w:val="005E099C"/>
    <w:rsid w:val="005E0DE9"/>
    <w:rsid w:val="005E1314"/>
    <w:rsid w:val="005E1F1B"/>
    <w:rsid w:val="005E20A5"/>
    <w:rsid w:val="005E23EF"/>
    <w:rsid w:val="005E248A"/>
    <w:rsid w:val="005E24CC"/>
    <w:rsid w:val="005E2644"/>
    <w:rsid w:val="005E29A2"/>
    <w:rsid w:val="005E2AE5"/>
    <w:rsid w:val="005E2B79"/>
    <w:rsid w:val="005E3076"/>
    <w:rsid w:val="005E310E"/>
    <w:rsid w:val="005E350E"/>
    <w:rsid w:val="005E3CA0"/>
    <w:rsid w:val="005E3E88"/>
    <w:rsid w:val="005E434F"/>
    <w:rsid w:val="005E4406"/>
    <w:rsid w:val="005E4A58"/>
    <w:rsid w:val="005E4A98"/>
    <w:rsid w:val="005E503F"/>
    <w:rsid w:val="005E56FA"/>
    <w:rsid w:val="005E58F5"/>
    <w:rsid w:val="005E5B9E"/>
    <w:rsid w:val="005E5E86"/>
    <w:rsid w:val="005E5EBC"/>
    <w:rsid w:val="005E5FA4"/>
    <w:rsid w:val="005E5FDD"/>
    <w:rsid w:val="005E61EF"/>
    <w:rsid w:val="005E6252"/>
    <w:rsid w:val="005E6279"/>
    <w:rsid w:val="005E65B1"/>
    <w:rsid w:val="005E660A"/>
    <w:rsid w:val="005E6E8E"/>
    <w:rsid w:val="005E7021"/>
    <w:rsid w:val="005E7838"/>
    <w:rsid w:val="005E7AA1"/>
    <w:rsid w:val="005E7ACC"/>
    <w:rsid w:val="005E7BDA"/>
    <w:rsid w:val="005F0461"/>
    <w:rsid w:val="005F09FF"/>
    <w:rsid w:val="005F0AC1"/>
    <w:rsid w:val="005F0BEC"/>
    <w:rsid w:val="005F0DED"/>
    <w:rsid w:val="005F0FE3"/>
    <w:rsid w:val="005F162B"/>
    <w:rsid w:val="005F193F"/>
    <w:rsid w:val="005F1D2C"/>
    <w:rsid w:val="005F1DF5"/>
    <w:rsid w:val="005F21BB"/>
    <w:rsid w:val="005F21F8"/>
    <w:rsid w:val="005F2B26"/>
    <w:rsid w:val="005F2B6D"/>
    <w:rsid w:val="005F355B"/>
    <w:rsid w:val="005F3B64"/>
    <w:rsid w:val="005F409D"/>
    <w:rsid w:val="005F4176"/>
    <w:rsid w:val="005F4222"/>
    <w:rsid w:val="005F42BF"/>
    <w:rsid w:val="005F449E"/>
    <w:rsid w:val="005F492F"/>
    <w:rsid w:val="005F4952"/>
    <w:rsid w:val="005F4CAD"/>
    <w:rsid w:val="005F4D24"/>
    <w:rsid w:val="005F5074"/>
    <w:rsid w:val="005F50E2"/>
    <w:rsid w:val="005F571C"/>
    <w:rsid w:val="005F5AF8"/>
    <w:rsid w:val="005F5BB1"/>
    <w:rsid w:val="005F6255"/>
    <w:rsid w:val="005F64D1"/>
    <w:rsid w:val="005F6B98"/>
    <w:rsid w:val="005F6DCF"/>
    <w:rsid w:val="005F703E"/>
    <w:rsid w:val="005F796D"/>
    <w:rsid w:val="005F7BCB"/>
    <w:rsid w:val="005F7C6E"/>
    <w:rsid w:val="005F7D8E"/>
    <w:rsid w:val="005F7DF0"/>
    <w:rsid w:val="005F7E99"/>
    <w:rsid w:val="005F7EB3"/>
    <w:rsid w:val="0060014C"/>
    <w:rsid w:val="006001DE"/>
    <w:rsid w:val="00600752"/>
    <w:rsid w:val="0060099A"/>
    <w:rsid w:val="00600A4C"/>
    <w:rsid w:val="00600CA5"/>
    <w:rsid w:val="006015DB"/>
    <w:rsid w:val="00601768"/>
    <w:rsid w:val="00601AA3"/>
    <w:rsid w:val="00601DE9"/>
    <w:rsid w:val="006024DE"/>
    <w:rsid w:val="006025DE"/>
    <w:rsid w:val="00602B69"/>
    <w:rsid w:val="00602C9E"/>
    <w:rsid w:val="00602D9C"/>
    <w:rsid w:val="006031F1"/>
    <w:rsid w:val="00603406"/>
    <w:rsid w:val="00603C4B"/>
    <w:rsid w:val="006041F5"/>
    <w:rsid w:val="0060449D"/>
    <w:rsid w:val="00604558"/>
    <w:rsid w:val="006047D7"/>
    <w:rsid w:val="006049C8"/>
    <w:rsid w:val="006054E1"/>
    <w:rsid w:val="0060588F"/>
    <w:rsid w:val="00605A52"/>
    <w:rsid w:val="00605C95"/>
    <w:rsid w:val="00606413"/>
    <w:rsid w:val="006067B8"/>
    <w:rsid w:val="00606ACE"/>
    <w:rsid w:val="00606CCA"/>
    <w:rsid w:val="006071ED"/>
    <w:rsid w:val="0060723B"/>
    <w:rsid w:val="00607283"/>
    <w:rsid w:val="006076CF"/>
    <w:rsid w:val="006076E3"/>
    <w:rsid w:val="00607864"/>
    <w:rsid w:val="00610A88"/>
    <w:rsid w:val="00610B82"/>
    <w:rsid w:val="00610C56"/>
    <w:rsid w:val="00610E0C"/>
    <w:rsid w:val="006111E6"/>
    <w:rsid w:val="006112B8"/>
    <w:rsid w:val="00611698"/>
    <w:rsid w:val="006117CF"/>
    <w:rsid w:val="00611A21"/>
    <w:rsid w:val="00611C7A"/>
    <w:rsid w:val="006123C9"/>
    <w:rsid w:val="006123CD"/>
    <w:rsid w:val="006126F1"/>
    <w:rsid w:val="00612AE3"/>
    <w:rsid w:val="00612B05"/>
    <w:rsid w:val="00612D89"/>
    <w:rsid w:val="00612EC9"/>
    <w:rsid w:val="00613366"/>
    <w:rsid w:val="0061336E"/>
    <w:rsid w:val="00613517"/>
    <w:rsid w:val="0061351C"/>
    <w:rsid w:val="006136CA"/>
    <w:rsid w:val="00613826"/>
    <w:rsid w:val="006139F8"/>
    <w:rsid w:val="00613A48"/>
    <w:rsid w:val="00613BB5"/>
    <w:rsid w:val="00614051"/>
    <w:rsid w:val="006140FC"/>
    <w:rsid w:val="00614192"/>
    <w:rsid w:val="006141DD"/>
    <w:rsid w:val="006142B4"/>
    <w:rsid w:val="00614587"/>
    <w:rsid w:val="00614CF5"/>
    <w:rsid w:val="00614E41"/>
    <w:rsid w:val="006151E7"/>
    <w:rsid w:val="00615339"/>
    <w:rsid w:val="006156C6"/>
    <w:rsid w:val="00615795"/>
    <w:rsid w:val="00615A50"/>
    <w:rsid w:val="00615C89"/>
    <w:rsid w:val="00615D30"/>
    <w:rsid w:val="00615EF2"/>
    <w:rsid w:val="00615F87"/>
    <w:rsid w:val="00616791"/>
    <w:rsid w:val="00616C57"/>
    <w:rsid w:val="00616C86"/>
    <w:rsid w:val="00616F99"/>
    <w:rsid w:val="00617019"/>
    <w:rsid w:val="006178D9"/>
    <w:rsid w:val="00617D85"/>
    <w:rsid w:val="00617F20"/>
    <w:rsid w:val="00620505"/>
    <w:rsid w:val="0062110E"/>
    <w:rsid w:val="00621537"/>
    <w:rsid w:val="006216C9"/>
    <w:rsid w:val="00621C4A"/>
    <w:rsid w:val="0062287F"/>
    <w:rsid w:val="00622A7B"/>
    <w:rsid w:val="00622C28"/>
    <w:rsid w:val="006237CE"/>
    <w:rsid w:val="00623829"/>
    <w:rsid w:val="006238B8"/>
    <w:rsid w:val="00623A86"/>
    <w:rsid w:val="00623D4E"/>
    <w:rsid w:val="00623DF2"/>
    <w:rsid w:val="006243EE"/>
    <w:rsid w:val="0062458C"/>
    <w:rsid w:val="006248AD"/>
    <w:rsid w:val="00624949"/>
    <w:rsid w:val="00624A0E"/>
    <w:rsid w:val="00624A52"/>
    <w:rsid w:val="00624B6A"/>
    <w:rsid w:val="00624D42"/>
    <w:rsid w:val="00625015"/>
    <w:rsid w:val="006250ED"/>
    <w:rsid w:val="0062539C"/>
    <w:rsid w:val="0062554A"/>
    <w:rsid w:val="006255DB"/>
    <w:rsid w:val="006257B4"/>
    <w:rsid w:val="00625A23"/>
    <w:rsid w:val="00625F41"/>
    <w:rsid w:val="00625FE9"/>
    <w:rsid w:val="0062606B"/>
    <w:rsid w:val="006260BB"/>
    <w:rsid w:val="00626524"/>
    <w:rsid w:val="00626C01"/>
    <w:rsid w:val="00627628"/>
    <w:rsid w:val="00627646"/>
    <w:rsid w:val="0062766C"/>
    <w:rsid w:val="006278B1"/>
    <w:rsid w:val="00627A51"/>
    <w:rsid w:val="00627DAA"/>
    <w:rsid w:val="00627F29"/>
    <w:rsid w:val="00630041"/>
    <w:rsid w:val="00630121"/>
    <w:rsid w:val="00630160"/>
    <w:rsid w:val="006304B8"/>
    <w:rsid w:val="00630AF1"/>
    <w:rsid w:val="00630EE2"/>
    <w:rsid w:val="0063137C"/>
    <w:rsid w:val="006314F2"/>
    <w:rsid w:val="006317B0"/>
    <w:rsid w:val="006318AB"/>
    <w:rsid w:val="00631B58"/>
    <w:rsid w:val="00631C82"/>
    <w:rsid w:val="00631D0B"/>
    <w:rsid w:val="006321A4"/>
    <w:rsid w:val="006323D0"/>
    <w:rsid w:val="00632BF4"/>
    <w:rsid w:val="00632BF7"/>
    <w:rsid w:val="00632D1A"/>
    <w:rsid w:val="006330C6"/>
    <w:rsid w:val="006338FF"/>
    <w:rsid w:val="00633B81"/>
    <w:rsid w:val="00634D3D"/>
    <w:rsid w:val="00634E1E"/>
    <w:rsid w:val="00634E9C"/>
    <w:rsid w:val="006354F5"/>
    <w:rsid w:val="006355A7"/>
    <w:rsid w:val="00635987"/>
    <w:rsid w:val="00635B7E"/>
    <w:rsid w:val="00636021"/>
    <w:rsid w:val="00636383"/>
    <w:rsid w:val="0063639C"/>
    <w:rsid w:val="00636D02"/>
    <w:rsid w:val="0063738D"/>
    <w:rsid w:val="00637567"/>
    <w:rsid w:val="00637C26"/>
    <w:rsid w:val="006400CC"/>
    <w:rsid w:val="0064016C"/>
    <w:rsid w:val="0064054F"/>
    <w:rsid w:val="0064092A"/>
    <w:rsid w:val="00640994"/>
    <w:rsid w:val="00640E8C"/>
    <w:rsid w:val="0064160A"/>
    <w:rsid w:val="00641961"/>
    <w:rsid w:val="00641D52"/>
    <w:rsid w:val="0064240E"/>
    <w:rsid w:val="00642753"/>
    <w:rsid w:val="0064290F"/>
    <w:rsid w:val="00642981"/>
    <w:rsid w:val="00642AC7"/>
    <w:rsid w:val="00642BBD"/>
    <w:rsid w:val="00642BDA"/>
    <w:rsid w:val="00642F44"/>
    <w:rsid w:val="00642F52"/>
    <w:rsid w:val="0064349F"/>
    <w:rsid w:val="0064371D"/>
    <w:rsid w:val="0064392D"/>
    <w:rsid w:val="00643AFD"/>
    <w:rsid w:val="00643D3A"/>
    <w:rsid w:val="00643F4B"/>
    <w:rsid w:val="0064407F"/>
    <w:rsid w:val="00644181"/>
    <w:rsid w:val="0064530C"/>
    <w:rsid w:val="006453CC"/>
    <w:rsid w:val="00645560"/>
    <w:rsid w:val="0064556C"/>
    <w:rsid w:val="006456FE"/>
    <w:rsid w:val="0064571A"/>
    <w:rsid w:val="00645762"/>
    <w:rsid w:val="00645A6E"/>
    <w:rsid w:val="00645B43"/>
    <w:rsid w:val="00645BE6"/>
    <w:rsid w:val="00645DEC"/>
    <w:rsid w:val="00645E0E"/>
    <w:rsid w:val="00646226"/>
    <w:rsid w:val="00646441"/>
    <w:rsid w:val="00646875"/>
    <w:rsid w:val="00646BDE"/>
    <w:rsid w:val="00646CDF"/>
    <w:rsid w:val="00646D8B"/>
    <w:rsid w:val="00646FA9"/>
    <w:rsid w:val="0064701B"/>
    <w:rsid w:val="00647BE8"/>
    <w:rsid w:val="006508F3"/>
    <w:rsid w:val="0065096C"/>
    <w:rsid w:val="00650D18"/>
    <w:rsid w:val="00650F5A"/>
    <w:rsid w:val="00651184"/>
    <w:rsid w:val="006511F7"/>
    <w:rsid w:val="006512B7"/>
    <w:rsid w:val="006512FD"/>
    <w:rsid w:val="00651363"/>
    <w:rsid w:val="00651645"/>
    <w:rsid w:val="00651823"/>
    <w:rsid w:val="0065184D"/>
    <w:rsid w:val="00651AE7"/>
    <w:rsid w:val="00651FA2"/>
    <w:rsid w:val="00652613"/>
    <w:rsid w:val="00652815"/>
    <w:rsid w:val="00652C52"/>
    <w:rsid w:val="00653576"/>
    <w:rsid w:val="006536C7"/>
    <w:rsid w:val="00653753"/>
    <w:rsid w:val="0065380C"/>
    <w:rsid w:val="00653B8B"/>
    <w:rsid w:val="00653C64"/>
    <w:rsid w:val="00653D01"/>
    <w:rsid w:val="00653D29"/>
    <w:rsid w:val="00653DD4"/>
    <w:rsid w:val="00654DFC"/>
    <w:rsid w:val="00655300"/>
    <w:rsid w:val="006554D4"/>
    <w:rsid w:val="00656A92"/>
    <w:rsid w:val="00656B71"/>
    <w:rsid w:val="006571DC"/>
    <w:rsid w:val="00657215"/>
    <w:rsid w:val="006575DA"/>
    <w:rsid w:val="00657931"/>
    <w:rsid w:val="00657BC3"/>
    <w:rsid w:val="00657DFC"/>
    <w:rsid w:val="00657FE4"/>
    <w:rsid w:val="00660152"/>
    <w:rsid w:val="0066042C"/>
    <w:rsid w:val="006604E4"/>
    <w:rsid w:val="00660561"/>
    <w:rsid w:val="0066065D"/>
    <w:rsid w:val="0066074E"/>
    <w:rsid w:val="00660973"/>
    <w:rsid w:val="00660BAF"/>
    <w:rsid w:val="00660C12"/>
    <w:rsid w:val="00660D68"/>
    <w:rsid w:val="006612DC"/>
    <w:rsid w:val="00661598"/>
    <w:rsid w:val="00661723"/>
    <w:rsid w:val="0066180F"/>
    <w:rsid w:val="00661DAB"/>
    <w:rsid w:val="00661F6F"/>
    <w:rsid w:val="00661FE4"/>
    <w:rsid w:val="00662158"/>
    <w:rsid w:val="006622B1"/>
    <w:rsid w:val="006623FE"/>
    <w:rsid w:val="0066256A"/>
    <w:rsid w:val="00662613"/>
    <w:rsid w:val="0066261E"/>
    <w:rsid w:val="00662E6B"/>
    <w:rsid w:val="00663236"/>
    <w:rsid w:val="0066333B"/>
    <w:rsid w:val="006634D4"/>
    <w:rsid w:val="006635B5"/>
    <w:rsid w:val="006636BA"/>
    <w:rsid w:val="00663FDB"/>
    <w:rsid w:val="006643E2"/>
    <w:rsid w:val="00664574"/>
    <w:rsid w:val="00664B5E"/>
    <w:rsid w:val="00664FA0"/>
    <w:rsid w:val="006652AC"/>
    <w:rsid w:val="00665568"/>
    <w:rsid w:val="00666269"/>
    <w:rsid w:val="0066654E"/>
    <w:rsid w:val="00666793"/>
    <w:rsid w:val="006667CD"/>
    <w:rsid w:val="00666A07"/>
    <w:rsid w:val="00666C48"/>
    <w:rsid w:val="00666D98"/>
    <w:rsid w:val="00666F0E"/>
    <w:rsid w:val="00667006"/>
    <w:rsid w:val="006671E0"/>
    <w:rsid w:val="00667346"/>
    <w:rsid w:val="00667354"/>
    <w:rsid w:val="00667503"/>
    <w:rsid w:val="0066766C"/>
    <w:rsid w:val="00667B31"/>
    <w:rsid w:val="00667BEB"/>
    <w:rsid w:val="00667C80"/>
    <w:rsid w:val="00667E38"/>
    <w:rsid w:val="00667F64"/>
    <w:rsid w:val="00670619"/>
    <w:rsid w:val="006706A0"/>
    <w:rsid w:val="006707C0"/>
    <w:rsid w:val="0067087D"/>
    <w:rsid w:val="006708DE"/>
    <w:rsid w:val="006712E3"/>
    <w:rsid w:val="0067150D"/>
    <w:rsid w:val="0067190F"/>
    <w:rsid w:val="006722F0"/>
    <w:rsid w:val="00672361"/>
    <w:rsid w:val="006723B6"/>
    <w:rsid w:val="006726D1"/>
    <w:rsid w:val="00672A26"/>
    <w:rsid w:val="00672A9D"/>
    <w:rsid w:val="00672C36"/>
    <w:rsid w:val="006730E4"/>
    <w:rsid w:val="00673775"/>
    <w:rsid w:val="006737FD"/>
    <w:rsid w:val="0067392B"/>
    <w:rsid w:val="00673D7D"/>
    <w:rsid w:val="00673F48"/>
    <w:rsid w:val="0067419D"/>
    <w:rsid w:val="00674205"/>
    <w:rsid w:val="00674264"/>
    <w:rsid w:val="0067460D"/>
    <w:rsid w:val="00674699"/>
    <w:rsid w:val="00674973"/>
    <w:rsid w:val="00674B1D"/>
    <w:rsid w:val="0067511A"/>
    <w:rsid w:val="006751D7"/>
    <w:rsid w:val="006753E9"/>
    <w:rsid w:val="0067542C"/>
    <w:rsid w:val="006754AE"/>
    <w:rsid w:val="0067553E"/>
    <w:rsid w:val="00675570"/>
    <w:rsid w:val="00675AF3"/>
    <w:rsid w:val="00675B7F"/>
    <w:rsid w:val="00675BEA"/>
    <w:rsid w:val="00675BF8"/>
    <w:rsid w:val="00675E2A"/>
    <w:rsid w:val="0067619C"/>
    <w:rsid w:val="006761EE"/>
    <w:rsid w:val="006763B0"/>
    <w:rsid w:val="00676600"/>
    <w:rsid w:val="00676699"/>
    <w:rsid w:val="00676860"/>
    <w:rsid w:val="00676A29"/>
    <w:rsid w:val="00676A54"/>
    <w:rsid w:val="00676BFE"/>
    <w:rsid w:val="00676E62"/>
    <w:rsid w:val="006771EF"/>
    <w:rsid w:val="00677422"/>
    <w:rsid w:val="00677473"/>
    <w:rsid w:val="0067750F"/>
    <w:rsid w:val="006776FC"/>
    <w:rsid w:val="006779A1"/>
    <w:rsid w:val="00677BF0"/>
    <w:rsid w:val="00677EEF"/>
    <w:rsid w:val="0068002B"/>
    <w:rsid w:val="00680442"/>
    <w:rsid w:val="006805E4"/>
    <w:rsid w:val="0068070C"/>
    <w:rsid w:val="00680D02"/>
    <w:rsid w:val="00680DA0"/>
    <w:rsid w:val="006812C6"/>
    <w:rsid w:val="00681380"/>
    <w:rsid w:val="00681595"/>
    <w:rsid w:val="006819A3"/>
    <w:rsid w:val="00681CDF"/>
    <w:rsid w:val="00681DC3"/>
    <w:rsid w:val="00681EAF"/>
    <w:rsid w:val="00682147"/>
    <w:rsid w:val="0068226B"/>
    <w:rsid w:val="0068260E"/>
    <w:rsid w:val="00682613"/>
    <w:rsid w:val="00682D82"/>
    <w:rsid w:val="00682F2B"/>
    <w:rsid w:val="006831FC"/>
    <w:rsid w:val="006832AC"/>
    <w:rsid w:val="00683401"/>
    <w:rsid w:val="0068389B"/>
    <w:rsid w:val="00683D1A"/>
    <w:rsid w:val="00683F81"/>
    <w:rsid w:val="0068412C"/>
    <w:rsid w:val="00684132"/>
    <w:rsid w:val="00684291"/>
    <w:rsid w:val="00684383"/>
    <w:rsid w:val="00684442"/>
    <w:rsid w:val="00684786"/>
    <w:rsid w:val="00684ECB"/>
    <w:rsid w:val="00685593"/>
    <w:rsid w:val="0068573B"/>
    <w:rsid w:val="00685877"/>
    <w:rsid w:val="00685DC1"/>
    <w:rsid w:val="00685E01"/>
    <w:rsid w:val="00686405"/>
    <w:rsid w:val="006865A7"/>
    <w:rsid w:val="00686724"/>
    <w:rsid w:val="00686CA9"/>
    <w:rsid w:val="00687313"/>
    <w:rsid w:val="00687441"/>
    <w:rsid w:val="00687605"/>
    <w:rsid w:val="00687729"/>
    <w:rsid w:val="00687AC1"/>
    <w:rsid w:val="00687AC7"/>
    <w:rsid w:val="006900DA"/>
    <w:rsid w:val="00690A0F"/>
    <w:rsid w:val="00690F93"/>
    <w:rsid w:val="00691561"/>
    <w:rsid w:val="0069170A"/>
    <w:rsid w:val="00691822"/>
    <w:rsid w:val="006918D3"/>
    <w:rsid w:val="00691BB8"/>
    <w:rsid w:val="00692021"/>
    <w:rsid w:val="0069220F"/>
    <w:rsid w:val="00692672"/>
    <w:rsid w:val="0069284D"/>
    <w:rsid w:val="006937B1"/>
    <w:rsid w:val="00693AD6"/>
    <w:rsid w:val="00693D96"/>
    <w:rsid w:val="00693ED3"/>
    <w:rsid w:val="006940D3"/>
    <w:rsid w:val="006942CE"/>
    <w:rsid w:val="006943D4"/>
    <w:rsid w:val="0069451F"/>
    <w:rsid w:val="0069476B"/>
    <w:rsid w:val="00694B2B"/>
    <w:rsid w:val="00694EB7"/>
    <w:rsid w:val="00694F79"/>
    <w:rsid w:val="00695129"/>
    <w:rsid w:val="00695234"/>
    <w:rsid w:val="00695BF1"/>
    <w:rsid w:val="00695C50"/>
    <w:rsid w:val="00695FDD"/>
    <w:rsid w:val="00696476"/>
    <w:rsid w:val="00696568"/>
    <w:rsid w:val="00696BAC"/>
    <w:rsid w:val="00696CCB"/>
    <w:rsid w:val="0069714E"/>
    <w:rsid w:val="0069723A"/>
    <w:rsid w:val="006975E9"/>
    <w:rsid w:val="0069793C"/>
    <w:rsid w:val="006A0112"/>
    <w:rsid w:val="006A0330"/>
    <w:rsid w:val="006A048E"/>
    <w:rsid w:val="006A0801"/>
    <w:rsid w:val="006A0A85"/>
    <w:rsid w:val="006A0A9C"/>
    <w:rsid w:val="006A159A"/>
    <w:rsid w:val="006A15D8"/>
    <w:rsid w:val="006A17F8"/>
    <w:rsid w:val="006A2080"/>
    <w:rsid w:val="006A2202"/>
    <w:rsid w:val="006A222B"/>
    <w:rsid w:val="006A227A"/>
    <w:rsid w:val="006A23EC"/>
    <w:rsid w:val="006A2612"/>
    <w:rsid w:val="006A27A7"/>
    <w:rsid w:val="006A2961"/>
    <w:rsid w:val="006A2D23"/>
    <w:rsid w:val="006A3118"/>
    <w:rsid w:val="006A316F"/>
    <w:rsid w:val="006A43D0"/>
    <w:rsid w:val="006A4953"/>
    <w:rsid w:val="006A4E1C"/>
    <w:rsid w:val="006A4E8C"/>
    <w:rsid w:val="006A514D"/>
    <w:rsid w:val="006A5641"/>
    <w:rsid w:val="006A597E"/>
    <w:rsid w:val="006A5B0D"/>
    <w:rsid w:val="006A5B8D"/>
    <w:rsid w:val="006A5B95"/>
    <w:rsid w:val="006A5D11"/>
    <w:rsid w:val="006A5E2A"/>
    <w:rsid w:val="006A5EB8"/>
    <w:rsid w:val="006A5F7D"/>
    <w:rsid w:val="006A6701"/>
    <w:rsid w:val="006A6A7D"/>
    <w:rsid w:val="006A6ADB"/>
    <w:rsid w:val="006A6B69"/>
    <w:rsid w:val="006A6EA2"/>
    <w:rsid w:val="006A7099"/>
    <w:rsid w:val="006A7381"/>
    <w:rsid w:val="006A75FA"/>
    <w:rsid w:val="006A7916"/>
    <w:rsid w:val="006A7AAB"/>
    <w:rsid w:val="006A7EBB"/>
    <w:rsid w:val="006A7FFD"/>
    <w:rsid w:val="006B01ED"/>
    <w:rsid w:val="006B0227"/>
    <w:rsid w:val="006B024A"/>
    <w:rsid w:val="006B04C7"/>
    <w:rsid w:val="006B09E0"/>
    <w:rsid w:val="006B10BB"/>
    <w:rsid w:val="006B123F"/>
    <w:rsid w:val="006B16B4"/>
    <w:rsid w:val="006B17CC"/>
    <w:rsid w:val="006B1A29"/>
    <w:rsid w:val="006B1BFC"/>
    <w:rsid w:val="006B1F1A"/>
    <w:rsid w:val="006B2384"/>
    <w:rsid w:val="006B251F"/>
    <w:rsid w:val="006B278A"/>
    <w:rsid w:val="006B2C67"/>
    <w:rsid w:val="006B3352"/>
    <w:rsid w:val="006B3694"/>
    <w:rsid w:val="006B3A00"/>
    <w:rsid w:val="006B3AA6"/>
    <w:rsid w:val="006B463E"/>
    <w:rsid w:val="006B4705"/>
    <w:rsid w:val="006B506B"/>
    <w:rsid w:val="006B582E"/>
    <w:rsid w:val="006B5EAD"/>
    <w:rsid w:val="006B6126"/>
    <w:rsid w:val="006B6332"/>
    <w:rsid w:val="006B6463"/>
    <w:rsid w:val="006B6E59"/>
    <w:rsid w:val="006B795B"/>
    <w:rsid w:val="006B7DD2"/>
    <w:rsid w:val="006B7FD4"/>
    <w:rsid w:val="006B7FF8"/>
    <w:rsid w:val="006BAF72"/>
    <w:rsid w:val="006C01F9"/>
    <w:rsid w:val="006C0538"/>
    <w:rsid w:val="006C0786"/>
    <w:rsid w:val="006C084D"/>
    <w:rsid w:val="006C09C7"/>
    <w:rsid w:val="006C0A67"/>
    <w:rsid w:val="006C0AE4"/>
    <w:rsid w:val="006C0D4E"/>
    <w:rsid w:val="006C0EAF"/>
    <w:rsid w:val="006C12C2"/>
    <w:rsid w:val="006C1781"/>
    <w:rsid w:val="006C1A7B"/>
    <w:rsid w:val="006C1D6E"/>
    <w:rsid w:val="006C1F86"/>
    <w:rsid w:val="006C2476"/>
    <w:rsid w:val="006C252C"/>
    <w:rsid w:val="006C2A07"/>
    <w:rsid w:val="006C2A11"/>
    <w:rsid w:val="006C34EA"/>
    <w:rsid w:val="006C35D4"/>
    <w:rsid w:val="006C36BF"/>
    <w:rsid w:val="006C3D4C"/>
    <w:rsid w:val="006C419C"/>
    <w:rsid w:val="006C4286"/>
    <w:rsid w:val="006C4510"/>
    <w:rsid w:val="006C461E"/>
    <w:rsid w:val="006C4CA7"/>
    <w:rsid w:val="006C4CCA"/>
    <w:rsid w:val="006C4F84"/>
    <w:rsid w:val="006C5112"/>
    <w:rsid w:val="006C5947"/>
    <w:rsid w:val="006C59C8"/>
    <w:rsid w:val="006C5AA2"/>
    <w:rsid w:val="006C5B3C"/>
    <w:rsid w:val="006C5F40"/>
    <w:rsid w:val="006C5FC2"/>
    <w:rsid w:val="006C6616"/>
    <w:rsid w:val="006C6AFF"/>
    <w:rsid w:val="006C7056"/>
    <w:rsid w:val="006C738D"/>
    <w:rsid w:val="006C73BF"/>
    <w:rsid w:val="006C7747"/>
    <w:rsid w:val="006C796D"/>
    <w:rsid w:val="006C79D1"/>
    <w:rsid w:val="006C7A1E"/>
    <w:rsid w:val="006C7F92"/>
    <w:rsid w:val="006D001D"/>
    <w:rsid w:val="006D0038"/>
    <w:rsid w:val="006D0477"/>
    <w:rsid w:val="006D098F"/>
    <w:rsid w:val="006D09BB"/>
    <w:rsid w:val="006D0A3D"/>
    <w:rsid w:val="006D13C1"/>
    <w:rsid w:val="006D19F0"/>
    <w:rsid w:val="006D1AFC"/>
    <w:rsid w:val="006D1C77"/>
    <w:rsid w:val="006D1E34"/>
    <w:rsid w:val="006D1F3A"/>
    <w:rsid w:val="006D217B"/>
    <w:rsid w:val="006D218A"/>
    <w:rsid w:val="006D2837"/>
    <w:rsid w:val="006D2A53"/>
    <w:rsid w:val="006D3267"/>
    <w:rsid w:val="006D3298"/>
    <w:rsid w:val="006D3D9F"/>
    <w:rsid w:val="006D40C5"/>
    <w:rsid w:val="006D426F"/>
    <w:rsid w:val="006D48AC"/>
    <w:rsid w:val="006D4B97"/>
    <w:rsid w:val="006D4D9B"/>
    <w:rsid w:val="006D5174"/>
    <w:rsid w:val="006D51F6"/>
    <w:rsid w:val="006D52EA"/>
    <w:rsid w:val="006D53C8"/>
    <w:rsid w:val="006D53D7"/>
    <w:rsid w:val="006D544B"/>
    <w:rsid w:val="006D5872"/>
    <w:rsid w:val="006D5B68"/>
    <w:rsid w:val="006D5EDD"/>
    <w:rsid w:val="006D5F99"/>
    <w:rsid w:val="006D6135"/>
    <w:rsid w:val="006D61D6"/>
    <w:rsid w:val="006D6790"/>
    <w:rsid w:val="006D6910"/>
    <w:rsid w:val="006D69F9"/>
    <w:rsid w:val="006D6B35"/>
    <w:rsid w:val="006D7270"/>
    <w:rsid w:val="006D7365"/>
    <w:rsid w:val="006E00F2"/>
    <w:rsid w:val="006E0B3D"/>
    <w:rsid w:val="006E1651"/>
    <w:rsid w:val="006E17DF"/>
    <w:rsid w:val="006E1936"/>
    <w:rsid w:val="006E1BA4"/>
    <w:rsid w:val="006E2329"/>
    <w:rsid w:val="006E23F8"/>
    <w:rsid w:val="006E2882"/>
    <w:rsid w:val="006E2AD6"/>
    <w:rsid w:val="006E2B1A"/>
    <w:rsid w:val="006E2F3F"/>
    <w:rsid w:val="006E2FA2"/>
    <w:rsid w:val="006E3195"/>
    <w:rsid w:val="006E3219"/>
    <w:rsid w:val="006E32D7"/>
    <w:rsid w:val="006E33D5"/>
    <w:rsid w:val="006E35B4"/>
    <w:rsid w:val="006E3682"/>
    <w:rsid w:val="006E3A83"/>
    <w:rsid w:val="006E3E26"/>
    <w:rsid w:val="006E450A"/>
    <w:rsid w:val="006E4627"/>
    <w:rsid w:val="006E46C2"/>
    <w:rsid w:val="006E4A8C"/>
    <w:rsid w:val="006E4A8E"/>
    <w:rsid w:val="006E4AEE"/>
    <w:rsid w:val="006E4D2C"/>
    <w:rsid w:val="006E4E3A"/>
    <w:rsid w:val="006E4F86"/>
    <w:rsid w:val="006E4F95"/>
    <w:rsid w:val="006E58F7"/>
    <w:rsid w:val="006E5CDD"/>
    <w:rsid w:val="006E5FEF"/>
    <w:rsid w:val="006E688C"/>
    <w:rsid w:val="006E6B00"/>
    <w:rsid w:val="006E6D41"/>
    <w:rsid w:val="006E6DD3"/>
    <w:rsid w:val="006E703B"/>
    <w:rsid w:val="006E710A"/>
    <w:rsid w:val="006F01A2"/>
    <w:rsid w:val="006F0231"/>
    <w:rsid w:val="006F02D2"/>
    <w:rsid w:val="006F0348"/>
    <w:rsid w:val="006F0416"/>
    <w:rsid w:val="006F0C85"/>
    <w:rsid w:val="006F101A"/>
    <w:rsid w:val="006F1222"/>
    <w:rsid w:val="006F12C3"/>
    <w:rsid w:val="006F12E9"/>
    <w:rsid w:val="006F1640"/>
    <w:rsid w:val="006F1746"/>
    <w:rsid w:val="006F20AA"/>
    <w:rsid w:val="006F24D4"/>
    <w:rsid w:val="006F2579"/>
    <w:rsid w:val="006F28B5"/>
    <w:rsid w:val="006F2C45"/>
    <w:rsid w:val="006F2FA3"/>
    <w:rsid w:val="006F3075"/>
    <w:rsid w:val="006F3664"/>
    <w:rsid w:val="006F3820"/>
    <w:rsid w:val="006F3E2E"/>
    <w:rsid w:val="006F42DD"/>
    <w:rsid w:val="006F4A8D"/>
    <w:rsid w:val="006F4F53"/>
    <w:rsid w:val="006F52DD"/>
    <w:rsid w:val="006F5576"/>
    <w:rsid w:val="006F5B9E"/>
    <w:rsid w:val="006F6254"/>
    <w:rsid w:val="006F6673"/>
    <w:rsid w:val="006F67DA"/>
    <w:rsid w:val="006F69C8"/>
    <w:rsid w:val="006F69F7"/>
    <w:rsid w:val="006F6ACF"/>
    <w:rsid w:val="006F6E6C"/>
    <w:rsid w:val="006F7468"/>
    <w:rsid w:val="006F7854"/>
    <w:rsid w:val="006F7978"/>
    <w:rsid w:val="006F7E2C"/>
    <w:rsid w:val="006F7F60"/>
    <w:rsid w:val="00700034"/>
    <w:rsid w:val="007000D8"/>
    <w:rsid w:val="00700355"/>
    <w:rsid w:val="0070081B"/>
    <w:rsid w:val="00700973"/>
    <w:rsid w:val="00700A4A"/>
    <w:rsid w:val="00700AE7"/>
    <w:rsid w:val="00700BE1"/>
    <w:rsid w:val="0070120A"/>
    <w:rsid w:val="00701E77"/>
    <w:rsid w:val="007021AD"/>
    <w:rsid w:val="00702444"/>
    <w:rsid w:val="00702446"/>
    <w:rsid w:val="00702C77"/>
    <w:rsid w:val="00702CFC"/>
    <w:rsid w:val="00703039"/>
    <w:rsid w:val="00703319"/>
    <w:rsid w:val="00703A8D"/>
    <w:rsid w:val="00703E86"/>
    <w:rsid w:val="007042D0"/>
    <w:rsid w:val="00704F73"/>
    <w:rsid w:val="007050D2"/>
    <w:rsid w:val="007051CE"/>
    <w:rsid w:val="00705652"/>
    <w:rsid w:val="0070581E"/>
    <w:rsid w:val="00705935"/>
    <w:rsid w:val="00705DFA"/>
    <w:rsid w:val="00705F29"/>
    <w:rsid w:val="007060FD"/>
    <w:rsid w:val="00706AEA"/>
    <w:rsid w:val="00706BDC"/>
    <w:rsid w:val="00706EC4"/>
    <w:rsid w:val="007072C0"/>
    <w:rsid w:val="00707781"/>
    <w:rsid w:val="00707A7D"/>
    <w:rsid w:val="00707B1D"/>
    <w:rsid w:val="00710154"/>
    <w:rsid w:val="00710183"/>
    <w:rsid w:val="0071055F"/>
    <w:rsid w:val="007105C6"/>
    <w:rsid w:val="00710701"/>
    <w:rsid w:val="00710719"/>
    <w:rsid w:val="007112B0"/>
    <w:rsid w:val="0071140F"/>
    <w:rsid w:val="0071198C"/>
    <w:rsid w:val="00711CE4"/>
    <w:rsid w:val="0071207F"/>
    <w:rsid w:val="00712924"/>
    <w:rsid w:val="0071324F"/>
    <w:rsid w:val="00713706"/>
    <w:rsid w:val="00713D65"/>
    <w:rsid w:val="00713E2F"/>
    <w:rsid w:val="007141C1"/>
    <w:rsid w:val="0071428D"/>
    <w:rsid w:val="0071461E"/>
    <w:rsid w:val="00714771"/>
    <w:rsid w:val="00714A82"/>
    <w:rsid w:val="00714C88"/>
    <w:rsid w:val="00715090"/>
    <w:rsid w:val="0071572E"/>
    <w:rsid w:val="00715A82"/>
    <w:rsid w:val="00715AC4"/>
    <w:rsid w:val="00715D89"/>
    <w:rsid w:val="0071615B"/>
    <w:rsid w:val="00716188"/>
    <w:rsid w:val="007162FE"/>
    <w:rsid w:val="0071643F"/>
    <w:rsid w:val="0071694B"/>
    <w:rsid w:val="00716971"/>
    <w:rsid w:val="00716AE0"/>
    <w:rsid w:val="00716D8A"/>
    <w:rsid w:val="00716F39"/>
    <w:rsid w:val="00716F4F"/>
    <w:rsid w:val="0071742B"/>
    <w:rsid w:val="0072027F"/>
    <w:rsid w:val="00720C4C"/>
    <w:rsid w:val="00720D8F"/>
    <w:rsid w:val="00721294"/>
    <w:rsid w:val="00721298"/>
    <w:rsid w:val="00721BBC"/>
    <w:rsid w:val="00721E2A"/>
    <w:rsid w:val="00722063"/>
    <w:rsid w:val="0072258B"/>
    <w:rsid w:val="0072266C"/>
    <w:rsid w:val="00722E8A"/>
    <w:rsid w:val="0072310E"/>
    <w:rsid w:val="007231C5"/>
    <w:rsid w:val="007239F2"/>
    <w:rsid w:val="00723CBE"/>
    <w:rsid w:val="007240AE"/>
    <w:rsid w:val="007241B4"/>
    <w:rsid w:val="00724522"/>
    <w:rsid w:val="0072464E"/>
    <w:rsid w:val="007247DC"/>
    <w:rsid w:val="00725960"/>
    <w:rsid w:val="007259BF"/>
    <w:rsid w:val="007259C4"/>
    <w:rsid w:val="00725A9C"/>
    <w:rsid w:val="0072637D"/>
    <w:rsid w:val="00726AD5"/>
    <w:rsid w:val="00726C62"/>
    <w:rsid w:val="007270C8"/>
    <w:rsid w:val="0072710A"/>
    <w:rsid w:val="007274DE"/>
    <w:rsid w:val="007276D1"/>
    <w:rsid w:val="00727CB7"/>
    <w:rsid w:val="007302D3"/>
    <w:rsid w:val="00730301"/>
    <w:rsid w:val="007305B8"/>
    <w:rsid w:val="00730815"/>
    <w:rsid w:val="00730BDB"/>
    <w:rsid w:val="00730BFF"/>
    <w:rsid w:val="00730EFE"/>
    <w:rsid w:val="00730F05"/>
    <w:rsid w:val="00731070"/>
    <w:rsid w:val="00731099"/>
    <w:rsid w:val="007312D5"/>
    <w:rsid w:val="0073140A"/>
    <w:rsid w:val="007318C9"/>
    <w:rsid w:val="007320EF"/>
    <w:rsid w:val="007322A1"/>
    <w:rsid w:val="007325BA"/>
    <w:rsid w:val="00732A22"/>
    <w:rsid w:val="0073323F"/>
    <w:rsid w:val="00733602"/>
    <w:rsid w:val="00733B03"/>
    <w:rsid w:val="00733EEF"/>
    <w:rsid w:val="00733F42"/>
    <w:rsid w:val="0073442F"/>
    <w:rsid w:val="00734773"/>
    <w:rsid w:val="007350FA"/>
    <w:rsid w:val="007352EB"/>
    <w:rsid w:val="0073590A"/>
    <w:rsid w:val="00735B10"/>
    <w:rsid w:val="00735B68"/>
    <w:rsid w:val="00736265"/>
    <w:rsid w:val="00736267"/>
    <w:rsid w:val="00736BD5"/>
    <w:rsid w:val="00736D1F"/>
    <w:rsid w:val="00737065"/>
    <w:rsid w:val="0073711F"/>
    <w:rsid w:val="00737171"/>
    <w:rsid w:val="007374D5"/>
    <w:rsid w:val="00737984"/>
    <w:rsid w:val="00737CD9"/>
    <w:rsid w:val="00740497"/>
    <w:rsid w:val="00740865"/>
    <w:rsid w:val="0074100D"/>
    <w:rsid w:val="007415D9"/>
    <w:rsid w:val="007419D2"/>
    <w:rsid w:val="00741AD4"/>
    <w:rsid w:val="0074217C"/>
    <w:rsid w:val="007421A8"/>
    <w:rsid w:val="007423CB"/>
    <w:rsid w:val="0074255C"/>
    <w:rsid w:val="00742D70"/>
    <w:rsid w:val="00743028"/>
    <w:rsid w:val="007438E7"/>
    <w:rsid w:val="0074397B"/>
    <w:rsid w:val="00743CFD"/>
    <w:rsid w:val="00744009"/>
    <w:rsid w:val="00744140"/>
    <w:rsid w:val="007442DC"/>
    <w:rsid w:val="007450AB"/>
    <w:rsid w:val="00745809"/>
    <w:rsid w:val="00745970"/>
    <w:rsid w:val="00745BCA"/>
    <w:rsid w:val="00745E98"/>
    <w:rsid w:val="0074609D"/>
    <w:rsid w:val="007460F8"/>
    <w:rsid w:val="00746CD8"/>
    <w:rsid w:val="00746EEF"/>
    <w:rsid w:val="00750035"/>
    <w:rsid w:val="00750252"/>
    <w:rsid w:val="007506B0"/>
    <w:rsid w:val="0075080A"/>
    <w:rsid w:val="00750D07"/>
    <w:rsid w:val="00751529"/>
    <w:rsid w:val="007515B5"/>
    <w:rsid w:val="00751999"/>
    <w:rsid w:val="007519B7"/>
    <w:rsid w:val="00751BE5"/>
    <w:rsid w:val="00751E2B"/>
    <w:rsid w:val="0075216A"/>
    <w:rsid w:val="0075285A"/>
    <w:rsid w:val="00752AAE"/>
    <w:rsid w:val="00753388"/>
    <w:rsid w:val="007533F2"/>
    <w:rsid w:val="00753617"/>
    <w:rsid w:val="007538CC"/>
    <w:rsid w:val="00753CA3"/>
    <w:rsid w:val="00753DBE"/>
    <w:rsid w:val="00754200"/>
    <w:rsid w:val="007542F6"/>
    <w:rsid w:val="0075465C"/>
    <w:rsid w:val="00754E2B"/>
    <w:rsid w:val="00754F03"/>
    <w:rsid w:val="007550FB"/>
    <w:rsid w:val="00755339"/>
    <w:rsid w:val="0075544D"/>
    <w:rsid w:val="00755792"/>
    <w:rsid w:val="00755C3E"/>
    <w:rsid w:val="00755ECB"/>
    <w:rsid w:val="00755F1E"/>
    <w:rsid w:val="007564CE"/>
    <w:rsid w:val="007566F0"/>
    <w:rsid w:val="00756788"/>
    <w:rsid w:val="00756E17"/>
    <w:rsid w:val="0075710D"/>
    <w:rsid w:val="007572B9"/>
    <w:rsid w:val="0075753A"/>
    <w:rsid w:val="007576D6"/>
    <w:rsid w:val="00757CF2"/>
    <w:rsid w:val="00757E1F"/>
    <w:rsid w:val="007600C3"/>
    <w:rsid w:val="007600F4"/>
    <w:rsid w:val="007609AC"/>
    <w:rsid w:val="00760BE7"/>
    <w:rsid w:val="00760EA5"/>
    <w:rsid w:val="007612DE"/>
    <w:rsid w:val="007616C4"/>
    <w:rsid w:val="00761716"/>
    <w:rsid w:val="0076179C"/>
    <w:rsid w:val="007617D0"/>
    <w:rsid w:val="007618F2"/>
    <w:rsid w:val="00762540"/>
    <w:rsid w:val="007626EC"/>
    <w:rsid w:val="00762EB5"/>
    <w:rsid w:val="007630EE"/>
    <w:rsid w:val="007631D9"/>
    <w:rsid w:val="00763869"/>
    <w:rsid w:val="00763A41"/>
    <w:rsid w:val="00763A85"/>
    <w:rsid w:val="00763D68"/>
    <w:rsid w:val="00763E11"/>
    <w:rsid w:val="00763E1C"/>
    <w:rsid w:val="00764217"/>
    <w:rsid w:val="00764325"/>
    <w:rsid w:val="0076464D"/>
    <w:rsid w:val="00764B8F"/>
    <w:rsid w:val="00764C4F"/>
    <w:rsid w:val="00764D4E"/>
    <w:rsid w:val="00765101"/>
    <w:rsid w:val="00765146"/>
    <w:rsid w:val="007656C4"/>
    <w:rsid w:val="00765C84"/>
    <w:rsid w:val="00765D0D"/>
    <w:rsid w:val="007662EC"/>
    <w:rsid w:val="007663B0"/>
    <w:rsid w:val="007667CD"/>
    <w:rsid w:val="00766BC2"/>
    <w:rsid w:val="00766BCD"/>
    <w:rsid w:val="00766CC1"/>
    <w:rsid w:val="00766F52"/>
    <w:rsid w:val="00767013"/>
    <w:rsid w:val="00767185"/>
    <w:rsid w:val="00767346"/>
    <w:rsid w:val="00767568"/>
    <w:rsid w:val="00767C44"/>
    <w:rsid w:val="00767DC9"/>
    <w:rsid w:val="00767EAC"/>
    <w:rsid w:val="0077008D"/>
    <w:rsid w:val="007703E0"/>
    <w:rsid w:val="00770D16"/>
    <w:rsid w:val="00770D3A"/>
    <w:rsid w:val="00770E17"/>
    <w:rsid w:val="00770E8A"/>
    <w:rsid w:val="00770F70"/>
    <w:rsid w:val="007710C7"/>
    <w:rsid w:val="007715C1"/>
    <w:rsid w:val="007716D1"/>
    <w:rsid w:val="00771917"/>
    <w:rsid w:val="00771DE9"/>
    <w:rsid w:val="00771E27"/>
    <w:rsid w:val="00771E79"/>
    <w:rsid w:val="007721B9"/>
    <w:rsid w:val="007721F5"/>
    <w:rsid w:val="00772598"/>
    <w:rsid w:val="007726D4"/>
    <w:rsid w:val="00772A1B"/>
    <w:rsid w:val="00772A22"/>
    <w:rsid w:val="00772B8E"/>
    <w:rsid w:val="007730A3"/>
    <w:rsid w:val="007731A2"/>
    <w:rsid w:val="00773D75"/>
    <w:rsid w:val="00773ECA"/>
    <w:rsid w:val="00774F94"/>
    <w:rsid w:val="007751C9"/>
    <w:rsid w:val="00775367"/>
    <w:rsid w:val="007753C0"/>
    <w:rsid w:val="00775549"/>
    <w:rsid w:val="00775AE8"/>
    <w:rsid w:val="00775E40"/>
    <w:rsid w:val="00775F95"/>
    <w:rsid w:val="00775FED"/>
    <w:rsid w:val="00776662"/>
    <w:rsid w:val="007767BD"/>
    <w:rsid w:val="00776FE2"/>
    <w:rsid w:val="0077760B"/>
    <w:rsid w:val="00777675"/>
    <w:rsid w:val="00777B06"/>
    <w:rsid w:val="00777F95"/>
    <w:rsid w:val="0078022B"/>
    <w:rsid w:val="0078043B"/>
    <w:rsid w:val="00780A40"/>
    <w:rsid w:val="00780F2D"/>
    <w:rsid w:val="00781109"/>
    <w:rsid w:val="007812AA"/>
    <w:rsid w:val="007814E5"/>
    <w:rsid w:val="00781916"/>
    <w:rsid w:val="00781C46"/>
    <w:rsid w:val="00781E9D"/>
    <w:rsid w:val="00782531"/>
    <w:rsid w:val="007825F3"/>
    <w:rsid w:val="007828CD"/>
    <w:rsid w:val="007829BB"/>
    <w:rsid w:val="00782B8E"/>
    <w:rsid w:val="00782DB4"/>
    <w:rsid w:val="00783144"/>
    <w:rsid w:val="00783185"/>
    <w:rsid w:val="007832D9"/>
    <w:rsid w:val="0078354C"/>
    <w:rsid w:val="007836D2"/>
    <w:rsid w:val="00783718"/>
    <w:rsid w:val="0078396F"/>
    <w:rsid w:val="00783C15"/>
    <w:rsid w:val="0078425E"/>
    <w:rsid w:val="00784332"/>
    <w:rsid w:val="00784AA9"/>
    <w:rsid w:val="00784B27"/>
    <w:rsid w:val="0078505C"/>
    <w:rsid w:val="007850D9"/>
    <w:rsid w:val="00785112"/>
    <w:rsid w:val="00785279"/>
    <w:rsid w:val="00785777"/>
    <w:rsid w:val="00785850"/>
    <w:rsid w:val="00785D6B"/>
    <w:rsid w:val="007860F5"/>
    <w:rsid w:val="007866AD"/>
    <w:rsid w:val="00786E19"/>
    <w:rsid w:val="007870DE"/>
    <w:rsid w:val="007872DA"/>
    <w:rsid w:val="00787445"/>
    <w:rsid w:val="00787938"/>
    <w:rsid w:val="00787A0F"/>
    <w:rsid w:val="00787C99"/>
    <w:rsid w:val="00790496"/>
    <w:rsid w:val="0079078C"/>
    <w:rsid w:val="007910EA"/>
    <w:rsid w:val="0079190A"/>
    <w:rsid w:val="00791AA0"/>
    <w:rsid w:val="00791CFE"/>
    <w:rsid w:val="00791E1A"/>
    <w:rsid w:val="00791E79"/>
    <w:rsid w:val="00791EB6"/>
    <w:rsid w:val="00791F1B"/>
    <w:rsid w:val="00791F59"/>
    <w:rsid w:val="00791FD7"/>
    <w:rsid w:val="00792070"/>
    <w:rsid w:val="00792383"/>
    <w:rsid w:val="00792559"/>
    <w:rsid w:val="00792F0E"/>
    <w:rsid w:val="007933F3"/>
    <w:rsid w:val="007933F4"/>
    <w:rsid w:val="007935F5"/>
    <w:rsid w:val="00793A73"/>
    <w:rsid w:val="00793C38"/>
    <w:rsid w:val="007945CB"/>
    <w:rsid w:val="00794624"/>
    <w:rsid w:val="0079491E"/>
    <w:rsid w:val="00794A4A"/>
    <w:rsid w:val="00794BF9"/>
    <w:rsid w:val="0079566E"/>
    <w:rsid w:val="00795FA7"/>
    <w:rsid w:val="00796519"/>
    <w:rsid w:val="007966A5"/>
    <w:rsid w:val="007969F6"/>
    <w:rsid w:val="00796CB1"/>
    <w:rsid w:val="007970DB"/>
    <w:rsid w:val="0079755C"/>
    <w:rsid w:val="0079790B"/>
    <w:rsid w:val="00797A78"/>
    <w:rsid w:val="00797B0F"/>
    <w:rsid w:val="00797E32"/>
    <w:rsid w:val="00797FA0"/>
    <w:rsid w:val="007A01D4"/>
    <w:rsid w:val="007A0264"/>
    <w:rsid w:val="007A06BD"/>
    <w:rsid w:val="007A0756"/>
    <w:rsid w:val="007A0B93"/>
    <w:rsid w:val="007A0D7B"/>
    <w:rsid w:val="007A0F55"/>
    <w:rsid w:val="007A1132"/>
    <w:rsid w:val="007A1501"/>
    <w:rsid w:val="007A150E"/>
    <w:rsid w:val="007A1A63"/>
    <w:rsid w:val="007A1DA9"/>
    <w:rsid w:val="007A1FD5"/>
    <w:rsid w:val="007A21D3"/>
    <w:rsid w:val="007A2369"/>
    <w:rsid w:val="007A2485"/>
    <w:rsid w:val="007A2665"/>
    <w:rsid w:val="007A28D9"/>
    <w:rsid w:val="007A2910"/>
    <w:rsid w:val="007A2A79"/>
    <w:rsid w:val="007A2BCB"/>
    <w:rsid w:val="007A2CA6"/>
    <w:rsid w:val="007A3A3A"/>
    <w:rsid w:val="007A3B21"/>
    <w:rsid w:val="007A42A9"/>
    <w:rsid w:val="007A44CF"/>
    <w:rsid w:val="007A4696"/>
    <w:rsid w:val="007A4859"/>
    <w:rsid w:val="007A4A7A"/>
    <w:rsid w:val="007A4A93"/>
    <w:rsid w:val="007A506B"/>
    <w:rsid w:val="007A53AD"/>
    <w:rsid w:val="007A55CA"/>
    <w:rsid w:val="007A5CC3"/>
    <w:rsid w:val="007A5DA3"/>
    <w:rsid w:val="007A666B"/>
    <w:rsid w:val="007A6734"/>
    <w:rsid w:val="007A6A2E"/>
    <w:rsid w:val="007A6B57"/>
    <w:rsid w:val="007A7C9C"/>
    <w:rsid w:val="007B0137"/>
    <w:rsid w:val="007B0A11"/>
    <w:rsid w:val="007B0ADF"/>
    <w:rsid w:val="007B0C8A"/>
    <w:rsid w:val="007B0E44"/>
    <w:rsid w:val="007B115A"/>
    <w:rsid w:val="007B12A1"/>
    <w:rsid w:val="007B1FD2"/>
    <w:rsid w:val="007B2189"/>
    <w:rsid w:val="007B2366"/>
    <w:rsid w:val="007B248E"/>
    <w:rsid w:val="007B27CA"/>
    <w:rsid w:val="007B2839"/>
    <w:rsid w:val="007B2888"/>
    <w:rsid w:val="007B290A"/>
    <w:rsid w:val="007B2CA0"/>
    <w:rsid w:val="007B2E57"/>
    <w:rsid w:val="007B321A"/>
    <w:rsid w:val="007B38CB"/>
    <w:rsid w:val="007B3EA2"/>
    <w:rsid w:val="007B404D"/>
    <w:rsid w:val="007B4650"/>
    <w:rsid w:val="007B4E6D"/>
    <w:rsid w:val="007B4F6C"/>
    <w:rsid w:val="007B5014"/>
    <w:rsid w:val="007B58A6"/>
    <w:rsid w:val="007B597E"/>
    <w:rsid w:val="007B5E7C"/>
    <w:rsid w:val="007B6A83"/>
    <w:rsid w:val="007B6D12"/>
    <w:rsid w:val="007B6D4B"/>
    <w:rsid w:val="007B70D6"/>
    <w:rsid w:val="007B74C1"/>
    <w:rsid w:val="007B7635"/>
    <w:rsid w:val="007B7F49"/>
    <w:rsid w:val="007C01BE"/>
    <w:rsid w:val="007C0FE7"/>
    <w:rsid w:val="007C14E6"/>
    <w:rsid w:val="007C186C"/>
    <w:rsid w:val="007C1B29"/>
    <w:rsid w:val="007C1B61"/>
    <w:rsid w:val="007C1C5C"/>
    <w:rsid w:val="007C1F8E"/>
    <w:rsid w:val="007C2082"/>
    <w:rsid w:val="007C2196"/>
    <w:rsid w:val="007C263F"/>
    <w:rsid w:val="007C26C7"/>
    <w:rsid w:val="007C2A9A"/>
    <w:rsid w:val="007C2FD4"/>
    <w:rsid w:val="007C31B6"/>
    <w:rsid w:val="007C33DA"/>
    <w:rsid w:val="007C34B1"/>
    <w:rsid w:val="007C3611"/>
    <w:rsid w:val="007C378B"/>
    <w:rsid w:val="007C3822"/>
    <w:rsid w:val="007C3932"/>
    <w:rsid w:val="007C3D54"/>
    <w:rsid w:val="007C3E18"/>
    <w:rsid w:val="007C4076"/>
    <w:rsid w:val="007C4884"/>
    <w:rsid w:val="007C49AC"/>
    <w:rsid w:val="007C5549"/>
    <w:rsid w:val="007C56BC"/>
    <w:rsid w:val="007C589A"/>
    <w:rsid w:val="007C59B7"/>
    <w:rsid w:val="007C5DBC"/>
    <w:rsid w:val="007C6843"/>
    <w:rsid w:val="007C7021"/>
    <w:rsid w:val="007C7A66"/>
    <w:rsid w:val="007C7AB9"/>
    <w:rsid w:val="007C7D56"/>
    <w:rsid w:val="007C7F8F"/>
    <w:rsid w:val="007D00AD"/>
    <w:rsid w:val="007D063E"/>
    <w:rsid w:val="007D0867"/>
    <w:rsid w:val="007D08B2"/>
    <w:rsid w:val="007D0AB8"/>
    <w:rsid w:val="007D0D68"/>
    <w:rsid w:val="007D0FC2"/>
    <w:rsid w:val="007D12CA"/>
    <w:rsid w:val="007D188D"/>
    <w:rsid w:val="007D1B77"/>
    <w:rsid w:val="007D2009"/>
    <w:rsid w:val="007D21F2"/>
    <w:rsid w:val="007D2373"/>
    <w:rsid w:val="007D2750"/>
    <w:rsid w:val="007D295F"/>
    <w:rsid w:val="007D29FC"/>
    <w:rsid w:val="007D2D24"/>
    <w:rsid w:val="007D3252"/>
    <w:rsid w:val="007D3295"/>
    <w:rsid w:val="007D355A"/>
    <w:rsid w:val="007D36F9"/>
    <w:rsid w:val="007D4252"/>
    <w:rsid w:val="007D48B9"/>
    <w:rsid w:val="007D49E2"/>
    <w:rsid w:val="007D4BF5"/>
    <w:rsid w:val="007D4D71"/>
    <w:rsid w:val="007D4FB5"/>
    <w:rsid w:val="007D57DF"/>
    <w:rsid w:val="007D6216"/>
    <w:rsid w:val="007D625B"/>
    <w:rsid w:val="007D6671"/>
    <w:rsid w:val="007D68F1"/>
    <w:rsid w:val="007D6C37"/>
    <w:rsid w:val="007D6D7F"/>
    <w:rsid w:val="007D7264"/>
    <w:rsid w:val="007D7326"/>
    <w:rsid w:val="007D7398"/>
    <w:rsid w:val="007D7496"/>
    <w:rsid w:val="007D7535"/>
    <w:rsid w:val="007D79E8"/>
    <w:rsid w:val="007D7AC0"/>
    <w:rsid w:val="007D7CC1"/>
    <w:rsid w:val="007D7E07"/>
    <w:rsid w:val="007E0001"/>
    <w:rsid w:val="007E0057"/>
    <w:rsid w:val="007E0548"/>
    <w:rsid w:val="007E096C"/>
    <w:rsid w:val="007E0986"/>
    <w:rsid w:val="007E0A80"/>
    <w:rsid w:val="007E0C92"/>
    <w:rsid w:val="007E0CE8"/>
    <w:rsid w:val="007E0FF8"/>
    <w:rsid w:val="007E23AD"/>
    <w:rsid w:val="007E279E"/>
    <w:rsid w:val="007E29AE"/>
    <w:rsid w:val="007E2A06"/>
    <w:rsid w:val="007E2FA9"/>
    <w:rsid w:val="007E312F"/>
    <w:rsid w:val="007E3510"/>
    <w:rsid w:val="007E3D94"/>
    <w:rsid w:val="007E3F39"/>
    <w:rsid w:val="007E43E0"/>
    <w:rsid w:val="007E45DB"/>
    <w:rsid w:val="007E4C59"/>
    <w:rsid w:val="007E4CB8"/>
    <w:rsid w:val="007E4EAC"/>
    <w:rsid w:val="007E4FE0"/>
    <w:rsid w:val="007E5371"/>
    <w:rsid w:val="007E54F6"/>
    <w:rsid w:val="007E591A"/>
    <w:rsid w:val="007E5CE6"/>
    <w:rsid w:val="007E5EBB"/>
    <w:rsid w:val="007E628B"/>
    <w:rsid w:val="007E6482"/>
    <w:rsid w:val="007E6551"/>
    <w:rsid w:val="007E6C69"/>
    <w:rsid w:val="007E76DB"/>
    <w:rsid w:val="007E7A0C"/>
    <w:rsid w:val="007E7A66"/>
    <w:rsid w:val="007F0588"/>
    <w:rsid w:val="007F0675"/>
    <w:rsid w:val="007F0827"/>
    <w:rsid w:val="007F0DDE"/>
    <w:rsid w:val="007F0FCF"/>
    <w:rsid w:val="007F1ADC"/>
    <w:rsid w:val="007F1CCD"/>
    <w:rsid w:val="007F1DE7"/>
    <w:rsid w:val="007F20F3"/>
    <w:rsid w:val="007F2109"/>
    <w:rsid w:val="007F2503"/>
    <w:rsid w:val="007F2760"/>
    <w:rsid w:val="007F28B1"/>
    <w:rsid w:val="007F299C"/>
    <w:rsid w:val="007F2B06"/>
    <w:rsid w:val="007F2F0B"/>
    <w:rsid w:val="007F317A"/>
    <w:rsid w:val="007F3867"/>
    <w:rsid w:val="007F39B4"/>
    <w:rsid w:val="007F3D6D"/>
    <w:rsid w:val="007F4325"/>
    <w:rsid w:val="007F5009"/>
    <w:rsid w:val="007F519B"/>
    <w:rsid w:val="007F5263"/>
    <w:rsid w:val="007F52A9"/>
    <w:rsid w:val="007F5576"/>
    <w:rsid w:val="007F55BD"/>
    <w:rsid w:val="007F55C1"/>
    <w:rsid w:val="007F5B66"/>
    <w:rsid w:val="007F5D93"/>
    <w:rsid w:val="007F5FD0"/>
    <w:rsid w:val="007F6960"/>
    <w:rsid w:val="007F6971"/>
    <w:rsid w:val="007F743F"/>
    <w:rsid w:val="007F7622"/>
    <w:rsid w:val="007F7823"/>
    <w:rsid w:val="007F7880"/>
    <w:rsid w:val="007F78E1"/>
    <w:rsid w:val="007F78EB"/>
    <w:rsid w:val="007F7ACA"/>
    <w:rsid w:val="007F7C5D"/>
    <w:rsid w:val="007F7E22"/>
    <w:rsid w:val="007F7E42"/>
    <w:rsid w:val="00800301"/>
    <w:rsid w:val="008007F2"/>
    <w:rsid w:val="00800A07"/>
    <w:rsid w:val="0080198B"/>
    <w:rsid w:val="00801B1B"/>
    <w:rsid w:val="00801C90"/>
    <w:rsid w:val="0080236E"/>
    <w:rsid w:val="008028E7"/>
    <w:rsid w:val="00802A8D"/>
    <w:rsid w:val="0080311A"/>
    <w:rsid w:val="008032F7"/>
    <w:rsid w:val="0080373A"/>
    <w:rsid w:val="00803749"/>
    <w:rsid w:val="00803B4F"/>
    <w:rsid w:val="00803C4E"/>
    <w:rsid w:val="00803EB0"/>
    <w:rsid w:val="008041A4"/>
    <w:rsid w:val="008048DB"/>
    <w:rsid w:val="00804A75"/>
    <w:rsid w:val="008050C6"/>
    <w:rsid w:val="00805543"/>
    <w:rsid w:val="0080566A"/>
    <w:rsid w:val="00805B64"/>
    <w:rsid w:val="00805CA0"/>
    <w:rsid w:val="00806185"/>
    <w:rsid w:val="00806271"/>
    <w:rsid w:val="008066C9"/>
    <w:rsid w:val="008066D5"/>
    <w:rsid w:val="008069B5"/>
    <w:rsid w:val="00806BBB"/>
    <w:rsid w:val="008079A6"/>
    <w:rsid w:val="00807AE5"/>
    <w:rsid w:val="00807CBA"/>
    <w:rsid w:val="00807CBC"/>
    <w:rsid w:val="00807CE7"/>
    <w:rsid w:val="0081006D"/>
    <w:rsid w:val="008101E5"/>
    <w:rsid w:val="008104CE"/>
    <w:rsid w:val="008104DD"/>
    <w:rsid w:val="00810637"/>
    <w:rsid w:val="00810764"/>
    <w:rsid w:val="00810A2E"/>
    <w:rsid w:val="00810C45"/>
    <w:rsid w:val="00810C5B"/>
    <w:rsid w:val="00810EC4"/>
    <w:rsid w:val="00811018"/>
    <w:rsid w:val="008113C3"/>
    <w:rsid w:val="00811967"/>
    <w:rsid w:val="008119D8"/>
    <w:rsid w:val="00811FE7"/>
    <w:rsid w:val="008120C9"/>
    <w:rsid w:val="00812224"/>
    <w:rsid w:val="00812399"/>
    <w:rsid w:val="008124B9"/>
    <w:rsid w:val="00812671"/>
    <w:rsid w:val="00812ACE"/>
    <w:rsid w:val="0081323D"/>
    <w:rsid w:val="0081348E"/>
    <w:rsid w:val="00813C20"/>
    <w:rsid w:val="00813C55"/>
    <w:rsid w:val="008146D7"/>
    <w:rsid w:val="00814B23"/>
    <w:rsid w:val="00814BBD"/>
    <w:rsid w:val="00815524"/>
    <w:rsid w:val="0081570A"/>
    <w:rsid w:val="00815D60"/>
    <w:rsid w:val="008161BC"/>
    <w:rsid w:val="008167B5"/>
    <w:rsid w:val="00816E45"/>
    <w:rsid w:val="00817015"/>
    <w:rsid w:val="008172E9"/>
    <w:rsid w:val="00817555"/>
    <w:rsid w:val="0081769E"/>
    <w:rsid w:val="008178F5"/>
    <w:rsid w:val="00817ABC"/>
    <w:rsid w:val="00817AD4"/>
    <w:rsid w:val="00817F8D"/>
    <w:rsid w:val="00820499"/>
    <w:rsid w:val="008204AD"/>
    <w:rsid w:val="008205D3"/>
    <w:rsid w:val="00820645"/>
    <w:rsid w:val="00821538"/>
    <w:rsid w:val="0082156F"/>
    <w:rsid w:val="00821884"/>
    <w:rsid w:val="008218C2"/>
    <w:rsid w:val="00821963"/>
    <w:rsid w:val="00821B38"/>
    <w:rsid w:val="008222B2"/>
    <w:rsid w:val="008224B9"/>
    <w:rsid w:val="008225D6"/>
    <w:rsid w:val="0082272E"/>
    <w:rsid w:val="00822854"/>
    <w:rsid w:val="00822A26"/>
    <w:rsid w:val="00822C5C"/>
    <w:rsid w:val="00822FAD"/>
    <w:rsid w:val="00823262"/>
    <w:rsid w:val="00823BDB"/>
    <w:rsid w:val="00823DE3"/>
    <w:rsid w:val="00824086"/>
    <w:rsid w:val="0082443A"/>
    <w:rsid w:val="008244A0"/>
    <w:rsid w:val="00824526"/>
    <w:rsid w:val="008245DD"/>
    <w:rsid w:val="00824A11"/>
    <w:rsid w:val="00825254"/>
    <w:rsid w:val="00825527"/>
    <w:rsid w:val="008255E3"/>
    <w:rsid w:val="00826042"/>
    <w:rsid w:val="00826A29"/>
    <w:rsid w:val="008270F7"/>
    <w:rsid w:val="0082726D"/>
    <w:rsid w:val="00827941"/>
    <w:rsid w:val="00827CE4"/>
    <w:rsid w:val="0083008E"/>
    <w:rsid w:val="0083009F"/>
    <w:rsid w:val="008304B2"/>
    <w:rsid w:val="008305CE"/>
    <w:rsid w:val="008308F4"/>
    <w:rsid w:val="00830BF3"/>
    <w:rsid w:val="00830D76"/>
    <w:rsid w:val="008311D1"/>
    <w:rsid w:val="008317A1"/>
    <w:rsid w:val="00831851"/>
    <w:rsid w:val="00831CAF"/>
    <w:rsid w:val="00831E6D"/>
    <w:rsid w:val="008320ED"/>
    <w:rsid w:val="00832886"/>
    <w:rsid w:val="00832D97"/>
    <w:rsid w:val="00833637"/>
    <w:rsid w:val="008339E4"/>
    <w:rsid w:val="00833FED"/>
    <w:rsid w:val="008340EA"/>
    <w:rsid w:val="00834D38"/>
    <w:rsid w:val="00834DFA"/>
    <w:rsid w:val="00834EE4"/>
    <w:rsid w:val="00835928"/>
    <w:rsid w:val="00835CED"/>
    <w:rsid w:val="00835DCC"/>
    <w:rsid w:val="00836502"/>
    <w:rsid w:val="00836984"/>
    <w:rsid w:val="00836A7F"/>
    <w:rsid w:val="00836C4D"/>
    <w:rsid w:val="00837388"/>
    <w:rsid w:val="00837616"/>
    <w:rsid w:val="008377A1"/>
    <w:rsid w:val="0083789F"/>
    <w:rsid w:val="008378E9"/>
    <w:rsid w:val="00837BBA"/>
    <w:rsid w:val="00840AC6"/>
    <w:rsid w:val="00841503"/>
    <w:rsid w:val="00841667"/>
    <w:rsid w:val="00841A58"/>
    <w:rsid w:val="00841ADC"/>
    <w:rsid w:val="00841DCD"/>
    <w:rsid w:val="00842026"/>
    <w:rsid w:val="008424A4"/>
    <w:rsid w:val="008425B2"/>
    <w:rsid w:val="008425B9"/>
    <w:rsid w:val="00842CA9"/>
    <w:rsid w:val="00842D53"/>
    <w:rsid w:val="00842EC1"/>
    <w:rsid w:val="00842F95"/>
    <w:rsid w:val="008438F0"/>
    <w:rsid w:val="00844058"/>
    <w:rsid w:val="008442A4"/>
    <w:rsid w:val="008447B6"/>
    <w:rsid w:val="008448BD"/>
    <w:rsid w:val="00844E02"/>
    <w:rsid w:val="008450E7"/>
    <w:rsid w:val="0084549E"/>
    <w:rsid w:val="00845589"/>
    <w:rsid w:val="008459C1"/>
    <w:rsid w:val="00845C47"/>
    <w:rsid w:val="00846159"/>
    <w:rsid w:val="00846611"/>
    <w:rsid w:val="008468EB"/>
    <w:rsid w:val="00846D37"/>
    <w:rsid w:val="00847391"/>
    <w:rsid w:val="00847E59"/>
    <w:rsid w:val="00850401"/>
    <w:rsid w:val="008505E9"/>
    <w:rsid w:val="00850D8B"/>
    <w:rsid w:val="00850E88"/>
    <w:rsid w:val="00850FF8"/>
    <w:rsid w:val="00850FFE"/>
    <w:rsid w:val="008512C0"/>
    <w:rsid w:val="00851533"/>
    <w:rsid w:val="00851B37"/>
    <w:rsid w:val="00851BFA"/>
    <w:rsid w:val="00852475"/>
    <w:rsid w:val="0085253C"/>
    <w:rsid w:val="00852872"/>
    <w:rsid w:val="00852A40"/>
    <w:rsid w:val="00853102"/>
    <w:rsid w:val="00853302"/>
    <w:rsid w:val="008536EC"/>
    <w:rsid w:val="008537BA"/>
    <w:rsid w:val="0085392E"/>
    <w:rsid w:val="0085398E"/>
    <w:rsid w:val="00853BDA"/>
    <w:rsid w:val="00853C5D"/>
    <w:rsid w:val="00853D4D"/>
    <w:rsid w:val="00854027"/>
    <w:rsid w:val="008542C1"/>
    <w:rsid w:val="0085451B"/>
    <w:rsid w:val="008549A8"/>
    <w:rsid w:val="008549FB"/>
    <w:rsid w:val="00854B6F"/>
    <w:rsid w:val="00854BE1"/>
    <w:rsid w:val="008550DF"/>
    <w:rsid w:val="008552E7"/>
    <w:rsid w:val="00855423"/>
    <w:rsid w:val="008557B9"/>
    <w:rsid w:val="00855A74"/>
    <w:rsid w:val="00855D9B"/>
    <w:rsid w:val="00855DA6"/>
    <w:rsid w:val="00855FAF"/>
    <w:rsid w:val="008560D4"/>
    <w:rsid w:val="00856B8A"/>
    <w:rsid w:val="00856CCE"/>
    <w:rsid w:val="00856DA9"/>
    <w:rsid w:val="0085710F"/>
    <w:rsid w:val="00857162"/>
    <w:rsid w:val="00857178"/>
    <w:rsid w:val="008576FC"/>
    <w:rsid w:val="00857913"/>
    <w:rsid w:val="00857B4C"/>
    <w:rsid w:val="008602D6"/>
    <w:rsid w:val="00860763"/>
    <w:rsid w:val="008608F8"/>
    <w:rsid w:val="00860F79"/>
    <w:rsid w:val="00861537"/>
    <w:rsid w:val="008623F2"/>
    <w:rsid w:val="00862876"/>
    <w:rsid w:val="00862CE4"/>
    <w:rsid w:val="008632FD"/>
    <w:rsid w:val="00863330"/>
    <w:rsid w:val="00863528"/>
    <w:rsid w:val="008636CA"/>
    <w:rsid w:val="0086375F"/>
    <w:rsid w:val="00863861"/>
    <w:rsid w:val="00863A59"/>
    <w:rsid w:val="00863FDC"/>
    <w:rsid w:val="00864548"/>
    <w:rsid w:val="008645EF"/>
    <w:rsid w:val="0086463A"/>
    <w:rsid w:val="008647C2"/>
    <w:rsid w:val="008648BA"/>
    <w:rsid w:val="00864A4E"/>
    <w:rsid w:val="008652C5"/>
    <w:rsid w:val="008655DF"/>
    <w:rsid w:val="0086577B"/>
    <w:rsid w:val="008657B9"/>
    <w:rsid w:val="008657C5"/>
    <w:rsid w:val="0086589B"/>
    <w:rsid w:val="00865B9E"/>
    <w:rsid w:val="00865F2B"/>
    <w:rsid w:val="0086677D"/>
    <w:rsid w:val="008668F9"/>
    <w:rsid w:val="008672D9"/>
    <w:rsid w:val="00867A68"/>
    <w:rsid w:val="00867BFB"/>
    <w:rsid w:val="00870143"/>
    <w:rsid w:val="00870BE4"/>
    <w:rsid w:val="00870C98"/>
    <w:rsid w:val="008711CB"/>
    <w:rsid w:val="00871354"/>
    <w:rsid w:val="0087137D"/>
    <w:rsid w:val="00871387"/>
    <w:rsid w:val="008713D1"/>
    <w:rsid w:val="008716B7"/>
    <w:rsid w:val="0087196C"/>
    <w:rsid w:val="00871BA7"/>
    <w:rsid w:val="00871FAC"/>
    <w:rsid w:val="008720D3"/>
    <w:rsid w:val="0087267F"/>
    <w:rsid w:val="00872785"/>
    <w:rsid w:val="008727F4"/>
    <w:rsid w:val="00872AE3"/>
    <w:rsid w:val="00872C5D"/>
    <w:rsid w:val="008735A7"/>
    <w:rsid w:val="008736A8"/>
    <w:rsid w:val="008741CF"/>
    <w:rsid w:val="008741D9"/>
    <w:rsid w:val="0087496E"/>
    <w:rsid w:val="00874A05"/>
    <w:rsid w:val="00874E5A"/>
    <w:rsid w:val="00874EB5"/>
    <w:rsid w:val="008752BA"/>
    <w:rsid w:val="0087550F"/>
    <w:rsid w:val="00875C3C"/>
    <w:rsid w:val="00876154"/>
    <w:rsid w:val="00876180"/>
    <w:rsid w:val="0087642D"/>
    <w:rsid w:val="00876471"/>
    <w:rsid w:val="0087677F"/>
    <w:rsid w:val="00876B61"/>
    <w:rsid w:val="00876EC7"/>
    <w:rsid w:val="008773AC"/>
    <w:rsid w:val="008777A6"/>
    <w:rsid w:val="008777D0"/>
    <w:rsid w:val="00877948"/>
    <w:rsid w:val="00877DBF"/>
    <w:rsid w:val="00877E00"/>
    <w:rsid w:val="00880684"/>
    <w:rsid w:val="00880701"/>
    <w:rsid w:val="0088090D"/>
    <w:rsid w:val="008814DC"/>
    <w:rsid w:val="008816D0"/>
    <w:rsid w:val="00881806"/>
    <w:rsid w:val="00882215"/>
    <w:rsid w:val="00882D4B"/>
    <w:rsid w:val="00883054"/>
    <w:rsid w:val="0088307D"/>
    <w:rsid w:val="0088316D"/>
    <w:rsid w:val="0088320B"/>
    <w:rsid w:val="00883AB8"/>
    <w:rsid w:val="00883FF5"/>
    <w:rsid w:val="00884587"/>
    <w:rsid w:val="00884709"/>
    <w:rsid w:val="008847CB"/>
    <w:rsid w:val="00884A9B"/>
    <w:rsid w:val="00884AE3"/>
    <w:rsid w:val="00884BDD"/>
    <w:rsid w:val="0088504D"/>
    <w:rsid w:val="008851B8"/>
    <w:rsid w:val="00885238"/>
    <w:rsid w:val="00885376"/>
    <w:rsid w:val="0088591D"/>
    <w:rsid w:val="00885DA6"/>
    <w:rsid w:val="00886686"/>
    <w:rsid w:val="008868D2"/>
    <w:rsid w:val="008869C6"/>
    <w:rsid w:val="00886A34"/>
    <w:rsid w:val="00886CA0"/>
    <w:rsid w:val="00886D01"/>
    <w:rsid w:val="00887036"/>
    <w:rsid w:val="008873A0"/>
    <w:rsid w:val="0088786B"/>
    <w:rsid w:val="00887A4D"/>
    <w:rsid w:val="00890065"/>
    <w:rsid w:val="008901DB"/>
    <w:rsid w:val="008902DF"/>
    <w:rsid w:val="00890429"/>
    <w:rsid w:val="0089054E"/>
    <w:rsid w:val="0089086D"/>
    <w:rsid w:val="008909FE"/>
    <w:rsid w:val="00890BE9"/>
    <w:rsid w:val="00890C3A"/>
    <w:rsid w:val="00891332"/>
    <w:rsid w:val="008914E7"/>
    <w:rsid w:val="00891EE6"/>
    <w:rsid w:val="00891F3F"/>
    <w:rsid w:val="00892164"/>
    <w:rsid w:val="0089226A"/>
    <w:rsid w:val="008922C1"/>
    <w:rsid w:val="008925C1"/>
    <w:rsid w:val="0089289F"/>
    <w:rsid w:val="008932E9"/>
    <w:rsid w:val="00893786"/>
    <w:rsid w:val="0089399A"/>
    <w:rsid w:val="00893AF2"/>
    <w:rsid w:val="00893B17"/>
    <w:rsid w:val="00893B79"/>
    <w:rsid w:val="00893D05"/>
    <w:rsid w:val="00893D08"/>
    <w:rsid w:val="00893DAD"/>
    <w:rsid w:val="00893FDE"/>
    <w:rsid w:val="008940BE"/>
    <w:rsid w:val="008947AE"/>
    <w:rsid w:val="00894DEA"/>
    <w:rsid w:val="008954E9"/>
    <w:rsid w:val="00895AF7"/>
    <w:rsid w:val="00895BAE"/>
    <w:rsid w:val="00895DFE"/>
    <w:rsid w:val="00895F8D"/>
    <w:rsid w:val="00895FC5"/>
    <w:rsid w:val="008964EC"/>
    <w:rsid w:val="00896A5B"/>
    <w:rsid w:val="00896F4D"/>
    <w:rsid w:val="00896F9A"/>
    <w:rsid w:val="0089711B"/>
    <w:rsid w:val="0089712C"/>
    <w:rsid w:val="008973E2"/>
    <w:rsid w:val="00897419"/>
    <w:rsid w:val="008977E8"/>
    <w:rsid w:val="00897B34"/>
    <w:rsid w:val="00897BBE"/>
    <w:rsid w:val="00897F2E"/>
    <w:rsid w:val="008A0250"/>
    <w:rsid w:val="008A02EF"/>
    <w:rsid w:val="008A0352"/>
    <w:rsid w:val="008A0399"/>
    <w:rsid w:val="008A03A5"/>
    <w:rsid w:val="008A067C"/>
    <w:rsid w:val="008A0826"/>
    <w:rsid w:val="008A09A1"/>
    <w:rsid w:val="008A12C7"/>
    <w:rsid w:val="008A12FF"/>
    <w:rsid w:val="008A1724"/>
    <w:rsid w:val="008A2622"/>
    <w:rsid w:val="008A28C4"/>
    <w:rsid w:val="008A2AA5"/>
    <w:rsid w:val="008A3950"/>
    <w:rsid w:val="008A39A1"/>
    <w:rsid w:val="008A3AE2"/>
    <w:rsid w:val="008A410A"/>
    <w:rsid w:val="008A4182"/>
    <w:rsid w:val="008A438C"/>
    <w:rsid w:val="008A4484"/>
    <w:rsid w:val="008A44FB"/>
    <w:rsid w:val="008A4747"/>
    <w:rsid w:val="008A484A"/>
    <w:rsid w:val="008A48CD"/>
    <w:rsid w:val="008A4952"/>
    <w:rsid w:val="008A4B2F"/>
    <w:rsid w:val="008A4C1B"/>
    <w:rsid w:val="008A4CE5"/>
    <w:rsid w:val="008A4ED1"/>
    <w:rsid w:val="008A5110"/>
    <w:rsid w:val="008A530C"/>
    <w:rsid w:val="008A534F"/>
    <w:rsid w:val="008A57D4"/>
    <w:rsid w:val="008A5885"/>
    <w:rsid w:val="008A58C0"/>
    <w:rsid w:val="008A5C9B"/>
    <w:rsid w:val="008A6722"/>
    <w:rsid w:val="008A6866"/>
    <w:rsid w:val="008A6A49"/>
    <w:rsid w:val="008A6BA2"/>
    <w:rsid w:val="008A6C6B"/>
    <w:rsid w:val="008A6E09"/>
    <w:rsid w:val="008A6E9B"/>
    <w:rsid w:val="008A705D"/>
    <w:rsid w:val="008A70C9"/>
    <w:rsid w:val="008A713C"/>
    <w:rsid w:val="008A73CC"/>
    <w:rsid w:val="008A73D8"/>
    <w:rsid w:val="008A7428"/>
    <w:rsid w:val="008A7459"/>
    <w:rsid w:val="008A74E0"/>
    <w:rsid w:val="008A753F"/>
    <w:rsid w:val="008A7CAF"/>
    <w:rsid w:val="008A7CF0"/>
    <w:rsid w:val="008A7DB7"/>
    <w:rsid w:val="008A7E12"/>
    <w:rsid w:val="008B00B1"/>
    <w:rsid w:val="008B05E7"/>
    <w:rsid w:val="008B0AB5"/>
    <w:rsid w:val="008B0F75"/>
    <w:rsid w:val="008B0FBD"/>
    <w:rsid w:val="008B1054"/>
    <w:rsid w:val="008B1195"/>
    <w:rsid w:val="008B120E"/>
    <w:rsid w:val="008B15AA"/>
    <w:rsid w:val="008B1E7B"/>
    <w:rsid w:val="008B2715"/>
    <w:rsid w:val="008B2A09"/>
    <w:rsid w:val="008B2A51"/>
    <w:rsid w:val="008B30CD"/>
    <w:rsid w:val="008B310E"/>
    <w:rsid w:val="008B31A8"/>
    <w:rsid w:val="008B353D"/>
    <w:rsid w:val="008B3D09"/>
    <w:rsid w:val="008B43B7"/>
    <w:rsid w:val="008B440A"/>
    <w:rsid w:val="008B478B"/>
    <w:rsid w:val="008B504A"/>
    <w:rsid w:val="008B512D"/>
    <w:rsid w:val="008B514D"/>
    <w:rsid w:val="008B5237"/>
    <w:rsid w:val="008B5448"/>
    <w:rsid w:val="008B55A4"/>
    <w:rsid w:val="008B57E1"/>
    <w:rsid w:val="008B5A4C"/>
    <w:rsid w:val="008B5E2B"/>
    <w:rsid w:val="008B6012"/>
    <w:rsid w:val="008B60D5"/>
    <w:rsid w:val="008B63D9"/>
    <w:rsid w:val="008B6507"/>
    <w:rsid w:val="008B659A"/>
    <w:rsid w:val="008B6BAD"/>
    <w:rsid w:val="008B6D48"/>
    <w:rsid w:val="008B6E22"/>
    <w:rsid w:val="008B6EEB"/>
    <w:rsid w:val="008B6F7A"/>
    <w:rsid w:val="008B7381"/>
    <w:rsid w:val="008B7736"/>
    <w:rsid w:val="008B7826"/>
    <w:rsid w:val="008B7D22"/>
    <w:rsid w:val="008B7D9B"/>
    <w:rsid w:val="008BC0C5"/>
    <w:rsid w:val="008C00D8"/>
    <w:rsid w:val="008C011E"/>
    <w:rsid w:val="008C03B9"/>
    <w:rsid w:val="008C072E"/>
    <w:rsid w:val="008C0978"/>
    <w:rsid w:val="008C0BCE"/>
    <w:rsid w:val="008C1040"/>
    <w:rsid w:val="008C10AD"/>
    <w:rsid w:val="008C11BF"/>
    <w:rsid w:val="008C1485"/>
    <w:rsid w:val="008C1574"/>
    <w:rsid w:val="008C17AF"/>
    <w:rsid w:val="008C17CF"/>
    <w:rsid w:val="008C1ACA"/>
    <w:rsid w:val="008C1FF3"/>
    <w:rsid w:val="008C20D7"/>
    <w:rsid w:val="008C28E4"/>
    <w:rsid w:val="008C291A"/>
    <w:rsid w:val="008C2A51"/>
    <w:rsid w:val="008C2BDB"/>
    <w:rsid w:val="008C3427"/>
    <w:rsid w:val="008C368C"/>
    <w:rsid w:val="008C373F"/>
    <w:rsid w:val="008C3848"/>
    <w:rsid w:val="008C386C"/>
    <w:rsid w:val="008C4202"/>
    <w:rsid w:val="008C463A"/>
    <w:rsid w:val="008C4E01"/>
    <w:rsid w:val="008C57A5"/>
    <w:rsid w:val="008C5A2C"/>
    <w:rsid w:val="008C5A85"/>
    <w:rsid w:val="008C5ECC"/>
    <w:rsid w:val="008C60CB"/>
    <w:rsid w:val="008C6301"/>
    <w:rsid w:val="008C664E"/>
    <w:rsid w:val="008C6698"/>
    <w:rsid w:val="008C68E5"/>
    <w:rsid w:val="008C6B54"/>
    <w:rsid w:val="008C759E"/>
    <w:rsid w:val="008C7698"/>
    <w:rsid w:val="008C7BD8"/>
    <w:rsid w:val="008C7F65"/>
    <w:rsid w:val="008CA903"/>
    <w:rsid w:val="008D05AD"/>
    <w:rsid w:val="008D0827"/>
    <w:rsid w:val="008D0904"/>
    <w:rsid w:val="008D0A04"/>
    <w:rsid w:val="008D0A87"/>
    <w:rsid w:val="008D0AC8"/>
    <w:rsid w:val="008D0BDE"/>
    <w:rsid w:val="008D0BEF"/>
    <w:rsid w:val="008D0F48"/>
    <w:rsid w:val="008D1268"/>
    <w:rsid w:val="008D1AFC"/>
    <w:rsid w:val="008D1B06"/>
    <w:rsid w:val="008D1FFD"/>
    <w:rsid w:val="008D24F5"/>
    <w:rsid w:val="008D2752"/>
    <w:rsid w:val="008D2C87"/>
    <w:rsid w:val="008D2E32"/>
    <w:rsid w:val="008D34A6"/>
    <w:rsid w:val="008D365F"/>
    <w:rsid w:val="008D376F"/>
    <w:rsid w:val="008D37DF"/>
    <w:rsid w:val="008D37F3"/>
    <w:rsid w:val="008D3A09"/>
    <w:rsid w:val="008D3B2A"/>
    <w:rsid w:val="008D3C69"/>
    <w:rsid w:val="008D3CDE"/>
    <w:rsid w:val="008D3E16"/>
    <w:rsid w:val="008D43EB"/>
    <w:rsid w:val="008D43F0"/>
    <w:rsid w:val="008D4783"/>
    <w:rsid w:val="008D4ACA"/>
    <w:rsid w:val="008D4FA8"/>
    <w:rsid w:val="008D4FBF"/>
    <w:rsid w:val="008D5270"/>
    <w:rsid w:val="008D53AA"/>
    <w:rsid w:val="008D53D5"/>
    <w:rsid w:val="008D5562"/>
    <w:rsid w:val="008D5686"/>
    <w:rsid w:val="008D58AD"/>
    <w:rsid w:val="008D5B15"/>
    <w:rsid w:val="008D5BD2"/>
    <w:rsid w:val="008D60D4"/>
    <w:rsid w:val="008D6529"/>
    <w:rsid w:val="008D652B"/>
    <w:rsid w:val="008D6627"/>
    <w:rsid w:val="008D6B54"/>
    <w:rsid w:val="008D6C83"/>
    <w:rsid w:val="008D6D32"/>
    <w:rsid w:val="008D703F"/>
    <w:rsid w:val="008D71B5"/>
    <w:rsid w:val="008D7403"/>
    <w:rsid w:val="008D74DF"/>
    <w:rsid w:val="008D777C"/>
    <w:rsid w:val="008D7AF7"/>
    <w:rsid w:val="008E016C"/>
    <w:rsid w:val="008E0232"/>
    <w:rsid w:val="008E03EC"/>
    <w:rsid w:val="008E04F5"/>
    <w:rsid w:val="008E0640"/>
    <w:rsid w:val="008E0682"/>
    <w:rsid w:val="008E06F9"/>
    <w:rsid w:val="008E0DA4"/>
    <w:rsid w:val="008E1002"/>
    <w:rsid w:val="008E1232"/>
    <w:rsid w:val="008E1236"/>
    <w:rsid w:val="008E1247"/>
    <w:rsid w:val="008E1761"/>
    <w:rsid w:val="008E1AA0"/>
    <w:rsid w:val="008E1F1C"/>
    <w:rsid w:val="008E224E"/>
    <w:rsid w:val="008E2F0C"/>
    <w:rsid w:val="008E314D"/>
    <w:rsid w:val="008E336D"/>
    <w:rsid w:val="008E344B"/>
    <w:rsid w:val="008E3665"/>
    <w:rsid w:val="008E3AD5"/>
    <w:rsid w:val="008E3DEB"/>
    <w:rsid w:val="008E400B"/>
    <w:rsid w:val="008E4197"/>
    <w:rsid w:val="008E4522"/>
    <w:rsid w:val="008E4EF4"/>
    <w:rsid w:val="008E4FF0"/>
    <w:rsid w:val="008E5617"/>
    <w:rsid w:val="008E5959"/>
    <w:rsid w:val="008E5F6D"/>
    <w:rsid w:val="008E604D"/>
    <w:rsid w:val="008E635E"/>
    <w:rsid w:val="008E64D4"/>
    <w:rsid w:val="008E665F"/>
    <w:rsid w:val="008E685A"/>
    <w:rsid w:val="008E68A1"/>
    <w:rsid w:val="008E6B5A"/>
    <w:rsid w:val="008E6D0D"/>
    <w:rsid w:val="008E6FD4"/>
    <w:rsid w:val="008E741D"/>
    <w:rsid w:val="008E762F"/>
    <w:rsid w:val="008E78C0"/>
    <w:rsid w:val="008E7AA7"/>
    <w:rsid w:val="008E7F42"/>
    <w:rsid w:val="008F015F"/>
    <w:rsid w:val="008F04CC"/>
    <w:rsid w:val="008F04F4"/>
    <w:rsid w:val="008F0579"/>
    <w:rsid w:val="008F057C"/>
    <w:rsid w:val="008F0720"/>
    <w:rsid w:val="008F088F"/>
    <w:rsid w:val="008F09C3"/>
    <w:rsid w:val="008F0B6F"/>
    <w:rsid w:val="008F0BE1"/>
    <w:rsid w:val="008F17C6"/>
    <w:rsid w:val="008F1970"/>
    <w:rsid w:val="008F1E5B"/>
    <w:rsid w:val="008F1F0B"/>
    <w:rsid w:val="008F1F6D"/>
    <w:rsid w:val="008F22AB"/>
    <w:rsid w:val="008F230A"/>
    <w:rsid w:val="008F2611"/>
    <w:rsid w:val="008F2652"/>
    <w:rsid w:val="008F28E7"/>
    <w:rsid w:val="008F290D"/>
    <w:rsid w:val="008F2E2C"/>
    <w:rsid w:val="008F2F9E"/>
    <w:rsid w:val="008F36EC"/>
    <w:rsid w:val="008F3BCD"/>
    <w:rsid w:val="008F4725"/>
    <w:rsid w:val="008F4850"/>
    <w:rsid w:val="008F4D5C"/>
    <w:rsid w:val="008F54AC"/>
    <w:rsid w:val="008F675D"/>
    <w:rsid w:val="008F69D8"/>
    <w:rsid w:val="008F6A47"/>
    <w:rsid w:val="008F70D9"/>
    <w:rsid w:val="008F71EE"/>
    <w:rsid w:val="008F726E"/>
    <w:rsid w:val="008F7432"/>
    <w:rsid w:val="008F7786"/>
    <w:rsid w:val="008F77DC"/>
    <w:rsid w:val="008F7B72"/>
    <w:rsid w:val="008F7C3C"/>
    <w:rsid w:val="008F7EF5"/>
    <w:rsid w:val="00900294"/>
    <w:rsid w:val="00900330"/>
    <w:rsid w:val="009009E6"/>
    <w:rsid w:val="00900A47"/>
    <w:rsid w:val="00900C43"/>
    <w:rsid w:val="009010D8"/>
    <w:rsid w:val="00901135"/>
    <w:rsid w:val="009011AC"/>
    <w:rsid w:val="00901738"/>
    <w:rsid w:val="00901B10"/>
    <w:rsid w:val="00901C9A"/>
    <w:rsid w:val="00901EA6"/>
    <w:rsid w:val="009025FE"/>
    <w:rsid w:val="0090287B"/>
    <w:rsid w:val="00902D02"/>
    <w:rsid w:val="009031F7"/>
    <w:rsid w:val="00903826"/>
    <w:rsid w:val="00903DB3"/>
    <w:rsid w:val="00903F55"/>
    <w:rsid w:val="0090419B"/>
    <w:rsid w:val="00904248"/>
    <w:rsid w:val="009043E4"/>
    <w:rsid w:val="00904630"/>
    <w:rsid w:val="009047BF"/>
    <w:rsid w:val="00904813"/>
    <w:rsid w:val="00904F75"/>
    <w:rsid w:val="009052D1"/>
    <w:rsid w:val="0090531B"/>
    <w:rsid w:val="0090543C"/>
    <w:rsid w:val="00905574"/>
    <w:rsid w:val="009059B0"/>
    <w:rsid w:val="00906115"/>
    <w:rsid w:val="0090647D"/>
    <w:rsid w:val="00906A86"/>
    <w:rsid w:val="00906C54"/>
    <w:rsid w:val="00906DB8"/>
    <w:rsid w:val="00906F71"/>
    <w:rsid w:val="00907226"/>
    <w:rsid w:val="009078EE"/>
    <w:rsid w:val="0090797E"/>
    <w:rsid w:val="00907A02"/>
    <w:rsid w:val="0091031E"/>
    <w:rsid w:val="009107BC"/>
    <w:rsid w:val="00910E99"/>
    <w:rsid w:val="00910F06"/>
    <w:rsid w:val="00911151"/>
    <w:rsid w:val="00911265"/>
    <w:rsid w:val="00911933"/>
    <w:rsid w:val="00911B1C"/>
    <w:rsid w:val="00911D39"/>
    <w:rsid w:val="00912B23"/>
    <w:rsid w:val="00912C2B"/>
    <w:rsid w:val="00912CFB"/>
    <w:rsid w:val="00912FF7"/>
    <w:rsid w:val="009130D0"/>
    <w:rsid w:val="00913186"/>
    <w:rsid w:val="00913318"/>
    <w:rsid w:val="00913848"/>
    <w:rsid w:val="00913919"/>
    <w:rsid w:val="00913B4E"/>
    <w:rsid w:val="009141E2"/>
    <w:rsid w:val="00914468"/>
    <w:rsid w:val="00914631"/>
    <w:rsid w:val="0091474D"/>
    <w:rsid w:val="00914774"/>
    <w:rsid w:val="0091485A"/>
    <w:rsid w:val="0091487F"/>
    <w:rsid w:val="00914ED6"/>
    <w:rsid w:val="009153B5"/>
    <w:rsid w:val="0091544E"/>
    <w:rsid w:val="00915932"/>
    <w:rsid w:val="009160BB"/>
    <w:rsid w:val="009166DD"/>
    <w:rsid w:val="00916A0C"/>
    <w:rsid w:val="00916C9F"/>
    <w:rsid w:val="0091736F"/>
    <w:rsid w:val="009174E3"/>
    <w:rsid w:val="00917822"/>
    <w:rsid w:val="00917A83"/>
    <w:rsid w:val="00917DE9"/>
    <w:rsid w:val="00920103"/>
    <w:rsid w:val="009202AF"/>
    <w:rsid w:val="009205BF"/>
    <w:rsid w:val="00920892"/>
    <w:rsid w:val="00920989"/>
    <w:rsid w:val="00920A2D"/>
    <w:rsid w:val="00920D4E"/>
    <w:rsid w:val="0092151F"/>
    <w:rsid w:val="00921589"/>
    <w:rsid w:val="00921F4C"/>
    <w:rsid w:val="00922454"/>
    <w:rsid w:val="009228A0"/>
    <w:rsid w:val="00922965"/>
    <w:rsid w:val="00922C36"/>
    <w:rsid w:val="009233CA"/>
    <w:rsid w:val="00923B16"/>
    <w:rsid w:val="00923CBA"/>
    <w:rsid w:val="00923E03"/>
    <w:rsid w:val="00924210"/>
    <w:rsid w:val="009244C0"/>
    <w:rsid w:val="00924811"/>
    <w:rsid w:val="009248DE"/>
    <w:rsid w:val="00924B59"/>
    <w:rsid w:val="00925672"/>
    <w:rsid w:val="009258EE"/>
    <w:rsid w:val="00925C85"/>
    <w:rsid w:val="00925F74"/>
    <w:rsid w:val="009268F2"/>
    <w:rsid w:val="00926C68"/>
    <w:rsid w:val="00926D34"/>
    <w:rsid w:val="00927797"/>
    <w:rsid w:val="00927A26"/>
    <w:rsid w:val="00927AA5"/>
    <w:rsid w:val="00927AD5"/>
    <w:rsid w:val="00927B32"/>
    <w:rsid w:val="00927F6F"/>
    <w:rsid w:val="00930503"/>
    <w:rsid w:val="00930A6F"/>
    <w:rsid w:val="00930B78"/>
    <w:rsid w:val="00930FCE"/>
    <w:rsid w:val="00931098"/>
    <w:rsid w:val="009312F8"/>
    <w:rsid w:val="00931ECE"/>
    <w:rsid w:val="00931F5F"/>
    <w:rsid w:val="009325CC"/>
    <w:rsid w:val="009325E8"/>
    <w:rsid w:val="009326DF"/>
    <w:rsid w:val="00932C81"/>
    <w:rsid w:val="00932D8F"/>
    <w:rsid w:val="00932DE8"/>
    <w:rsid w:val="00932F5D"/>
    <w:rsid w:val="00933082"/>
    <w:rsid w:val="0093361D"/>
    <w:rsid w:val="009338D0"/>
    <w:rsid w:val="00933A38"/>
    <w:rsid w:val="00933BF3"/>
    <w:rsid w:val="009342B1"/>
    <w:rsid w:val="00934486"/>
    <w:rsid w:val="0093479A"/>
    <w:rsid w:val="00935155"/>
    <w:rsid w:val="009351AB"/>
    <w:rsid w:val="0093552F"/>
    <w:rsid w:val="00935A2D"/>
    <w:rsid w:val="00935B30"/>
    <w:rsid w:val="00935B44"/>
    <w:rsid w:val="0093602D"/>
    <w:rsid w:val="0093614D"/>
    <w:rsid w:val="009365D5"/>
    <w:rsid w:val="009366E5"/>
    <w:rsid w:val="00936A7B"/>
    <w:rsid w:val="00936BAE"/>
    <w:rsid w:val="009374BB"/>
    <w:rsid w:val="00937C7C"/>
    <w:rsid w:val="0094001B"/>
    <w:rsid w:val="0094051D"/>
    <w:rsid w:val="00940E62"/>
    <w:rsid w:val="0094149B"/>
    <w:rsid w:val="00941705"/>
    <w:rsid w:val="00941A71"/>
    <w:rsid w:val="0094252E"/>
    <w:rsid w:val="00942700"/>
    <w:rsid w:val="00942A6F"/>
    <w:rsid w:val="00942D5E"/>
    <w:rsid w:val="00943011"/>
    <w:rsid w:val="0094383D"/>
    <w:rsid w:val="00943F60"/>
    <w:rsid w:val="00944044"/>
    <w:rsid w:val="0094434B"/>
    <w:rsid w:val="00944710"/>
    <w:rsid w:val="009449B2"/>
    <w:rsid w:val="00944F92"/>
    <w:rsid w:val="00945489"/>
    <w:rsid w:val="0094551C"/>
    <w:rsid w:val="00945577"/>
    <w:rsid w:val="00945A9F"/>
    <w:rsid w:val="00945C5A"/>
    <w:rsid w:val="00945D40"/>
    <w:rsid w:val="00945E43"/>
    <w:rsid w:val="009461D3"/>
    <w:rsid w:val="00946548"/>
    <w:rsid w:val="00946606"/>
    <w:rsid w:val="00946916"/>
    <w:rsid w:val="0094694D"/>
    <w:rsid w:val="00946D43"/>
    <w:rsid w:val="0094705B"/>
    <w:rsid w:val="009471F7"/>
    <w:rsid w:val="009475F4"/>
    <w:rsid w:val="00947D91"/>
    <w:rsid w:val="00947EA3"/>
    <w:rsid w:val="00950AE5"/>
    <w:rsid w:val="00950C64"/>
    <w:rsid w:val="00950DEC"/>
    <w:rsid w:val="009512FE"/>
    <w:rsid w:val="0095145B"/>
    <w:rsid w:val="00951485"/>
    <w:rsid w:val="0095156F"/>
    <w:rsid w:val="0095163F"/>
    <w:rsid w:val="00951C37"/>
    <w:rsid w:val="00951E07"/>
    <w:rsid w:val="009522D8"/>
    <w:rsid w:val="0095236A"/>
    <w:rsid w:val="0095273D"/>
    <w:rsid w:val="009529A7"/>
    <w:rsid w:val="00952B13"/>
    <w:rsid w:val="00952CC2"/>
    <w:rsid w:val="0095300E"/>
    <w:rsid w:val="00953414"/>
    <w:rsid w:val="00953ADC"/>
    <w:rsid w:val="00953BCD"/>
    <w:rsid w:val="00954DDD"/>
    <w:rsid w:val="009552DE"/>
    <w:rsid w:val="009553D3"/>
    <w:rsid w:val="0095543F"/>
    <w:rsid w:val="00955A1F"/>
    <w:rsid w:val="00955A5D"/>
    <w:rsid w:val="00955FE9"/>
    <w:rsid w:val="00956026"/>
    <w:rsid w:val="00956140"/>
    <w:rsid w:val="00956336"/>
    <w:rsid w:val="0095636C"/>
    <w:rsid w:val="009565AA"/>
    <w:rsid w:val="009566AC"/>
    <w:rsid w:val="009567D2"/>
    <w:rsid w:val="00956EC3"/>
    <w:rsid w:val="00957138"/>
    <w:rsid w:val="00957221"/>
    <w:rsid w:val="00957720"/>
    <w:rsid w:val="00957D56"/>
    <w:rsid w:val="00957E4E"/>
    <w:rsid w:val="009600AE"/>
    <w:rsid w:val="00960269"/>
    <w:rsid w:val="00960279"/>
    <w:rsid w:val="009602FF"/>
    <w:rsid w:val="009603FC"/>
    <w:rsid w:val="009605D7"/>
    <w:rsid w:val="0096061E"/>
    <w:rsid w:val="0096071B"/>
    <w:rsid w:val="009608DD"/>
    <w:rsid w:val="00960938"/>
    <w:rsid w:val="00960A4F"/>
    <w:rsid w:val="0096141E"/>
    <w:rsid w:val="009614AF"/>
    <w:rsid w:val="00961623"/>
    <w:rsid w:val="009619F5"/>
    <w:rsid w:val="009621AD"/>
    <w:rsid w:val="009622B3"/>
    <w:rsid w:val="00963758"/>
    <w:rsid w:val="00963A0B"/>
    <w:rsid w:val="00963B40"/>
    <w:rsid w:val="00963B7B"/>
    <w:rsid w:val="009642AF"/>
    <w:rsid w:val="009643F3"/>
    <w:rsid w:val="00964528"/>
    <w:rsid w:val="009648E1"/>
    <w:rsid w:val="00964EB3"/>
    <w:rsid w:val="00965809"/>
    <w:rsid w:val="0096585A"/>
    <w:rsid w:val="0096590C"/>
    <w:rsid w:val="00965A26"/>
    <w:rsid w:val="00965C94"/>
    <w:rsid w:val="00965E59"/>
    <w:rsid w:val="00965E66"/>
    <w:rsid w:val="00965F89"/>
    <w:rsid w:val="00966381"/>
    <w:rsid w:val="009667EB"/>
    <w:rsid w:val="00966E58"/>
    <w:rsid w:val="009671C7"/>
    <w:rsid w:val="00967233"/>
    <w:rsid w:val="00967326"/>
    <w:rsid w:val="0096747B"/>
    <w:rsid w:val="009676B7"/>
    <w:rsid w:val="009678AA"/>
    <w:rsid w:val="00967929"/>
    <w:rsid w:val="00967C6E"/>
    <w:rsid w:val="00967C9D"/>
    <w:rsid w:val="009705BD"/>
    <w:rsid w:val="00970998"/>
    <w:rsid w:val="00970B89"/>
    <w:rsid w:val="00970B9F"/>
    <w:rsid w:val="00970C79"/>
    <w:rsid w:val="00970FA0"/>
    <w:rsid w:val="00971644"/>
    <w:rsid w:val="0097179D"/>
    <w:rsid w:val="009719A9"/>
    <w:rsid w:val="00971CF3"/>
    <w:rsid w:val="00971D54"/>
    <w:rsid w:val="00971D5D"/>
    <w:rsid w:val="00971F43"/>
    <w:rsid w:val="009721FB"/>
    <w:rsid w:val="0097224D"/>
    <w:rsid w:val="009727B8"/>
    <w:rsid w:val="0097318A"/>
    <w:rsid w:val="00973538"/>
    <w:rsid w:val="00973AB8"/>
    <w:rsid w:val="00973AE2"/>
    <w:rsid w:val="00973BE2"/>
    <w:rsid w:val="009741D7"/>
    <w:rsid w:val="0097518A"/>
    <w:rsid w:val="0097556F"/>
    <w:rsid w:val="0097563E"/>
    <w:rsid w:val="00975CFB"/>
    <w:rsid w:val="00975DCD"/>
    <w:rsid w:val="009760DD"/>
    <w:rsid w:val="009766C6"/>
    <w:rsid w:val="009767B1"/>
    <w:rsid w:val="0097686E"/>
    <w:rsid w:val="00977661"/>
    <w:rsid w:val="00977842"/>
    <w:rsid w:val="00977993"/>
    <w:rsid w:val="00980198"/>
    <w:rsid w:val="0098022C"/>
    <w:rsid w:val="0098030B"/>
    <w:rsid w:val="00980342"/>
    <w:rsid w:val="00980378"/>
    <w:rsid w:val="0098039A"/>
    <w:rsid w:val="009803B4"/>
    <w:rsid w:val="00980401"/>
    <w:rsid w:val="00980523"/>
    <w:rsid w:val="00980BDC"/>
    <w:rsid w:val="00980C7A"/>
    <w:rsid w:val="00980D02"/>
    <w:rsid w:val="00980D0A"/>
    <w:rsid w:val="00981305"/>
    <w:rsid w:val="009814DF"/>
    <w:rsid w:val="00981586"/>
    <w:rsid w:val="0098170D"/>
    <w:rsid w:val="00981955"/>
    <w:rsid w:val="00981C16"/>
    <w:rsid w:val="00981C79"/>
    <w:rsid w:val="00981E60"/>
    <w:rsid w:val="00982733"/>
    <w:rsid w:val="009827B1"/>
    <w:rsid w:val="00982F95"/>
    <w:rsid w:val="009831F4"/>
    <w:rsid w:val="00983A10"/>
    <w:rsid w:val="00983A47"/>
    <w:rsid w:val="00983AB9"/>
    <w:rsid w:val="00983F3A"/>
    <w:rsid w:val="009842D0"/>
    <w:rsid w:val="009848BE"/>
    <w:rsid w:val="00984B2D"/>
    <w:rsid w:val="00984CCC"/>
    <w:rsid w:val="00984CE2"/>
    <w:rsid w:val="009850F4"/>
    <w:rsid w:val="009857FC"/>
    <w:rsid w:val="00985CB9"/>
    <w:rsid w:val="00985D3F"/>
    <w:rsid w:val="0098624D"/>
    <w:rsid w:val="00986520"/>
    <w:rsid w:val="00986A49"/>
    <w:rsid w:val="00987261"/>
    <w:rsid w:val="00987332"/>
    <w:rsid w:val="00987DE6"/>
    <w:rsid w:val="00987E03"/>
    <w:rsid w:val="00987FCD"/>
    <w:rsid w:val="00990450"/>
    <w:rsid w:val="00990E71"/>
    <w:rsid w:val="00990F04"/>
    <w:rsid w:val="0099177D"/>
    <w:rsid w:val="00991872"/>
    <w:rsid w:val="00991E72"/>
    <w:rsid w:val="009922E5"/>
    <w:rsid w:val="009934C3"/>
    <w:rsid w:val="009937BB"/>
    <w:rsid w:val="00993D6B"/>
    <w:rsid w:val="00993E88"/>
    <w:rsid w:val="00994017"/>
    <w:rsid w:val="00994025"/>
    <w:rsid w:val="00994B05"/>
    <w:rsid w:val="00994B4A"/>
    <w:rsid w:val="00994D2B"/>
    <w:rsid w:val="00995EBF"/>
    <w:rsid w:val="00995F46"/>
    <w:rsid w:val="0099634C"/>
    <w:rsid w:val="00997340"/>
    <w:rsid w:val="00997356"/>
    <w:rsid w:val="009974E7"/>
    <w:rsid w:val="00997D58"/>
    <w:rsid w:val="00997E96"/>
    <w:rsid w:val="00997FE3"/>
    <w:rsid w:val="009A027A"/>
    <w:rsid w:val="009A053A"/>
    <w:rsid w:val="009A0B36"/>
    <w:rsid w:val="009A0B65"/>
    <w:rsid w:val="009A0BCD"/>
    <w:rsid w:val="009A0ED9"/>
    <w:rsid w:val="009A1053"/>
    <w:rsid w:val="009A141B"/>
    <w:rsid w:val="009A2039"/>
    <w:rsid w:val="009A21A8"/>
    <w:rsid w:val="009A227B"/>
    <w:rsid w:val="009A23DB"/>
    <w:rsid w:val="009A2572"/>
    <w:rsid w:val="009A276E"/>
    <w:rsid w:val="009A2930"/>
    <w:rsid w:val="009A2A7C"/>
    <w:rsid w:val="009A2CEA"/>
    <w:rsid w:val="009A2D75"/>
    <w:rsid w:val="009A2E98"/>
    <w:rsid w:val="009A301A"/>
    <w:rsid w:val="009A3391"/>
    <w:rsid w:val="009A3451"/>
    <w:rsid w:val="009A34E8"/>
    <w:rsid w:val="009A3ACD"/>
    <w:rsid w:val="009A3E11"/>
    <w:rsid w:val="009A4B49"/>
    <w:rsid w:val="009A4E25"/>
    <w:rsid w:val="009A5ADE"/>
    <w:rsid w:val="009A5CC1"/>
    <w:rsid w:val="009A69D4"/>
    <w:rsid w:val="009A6C92"/>
    <w:rsid w:val="009A6D66"/>
    <w:rsid w:val="009A7FCB"/>
    <w:rsid w:val="009B008C"/>
    <w:rsid w:val="009B05B3"/>
    <w:rsid w:val="009B0906"/>
    <w:rsid w:val="009B0D35"/>
    <w:rsid w:val="009B0EB6"/>
    <w:rsid w:val="009B1484"/>
    <w:rsid w:val="009B198B"/>
    <w:rsid w:val="009B22E9"/>
    <w:rsid w:val="009B2611"/>
    <w:rsid w:val="009B3037"/>
    <w:rsid w:val="009B3886"/>
    <w:rsid w:val="009B39A6"/>
    <w:rsid w:val="009B3AB4"/>
    <w:rsid w:val="009B40C7"/>
    <w:rsid w:val="009B42A5"/>
    <w:rsid w:val="009B5078"/>
    <w:rsid w:val="009B5122"/>
    <w:rsid w:val="009B525C"/>
    <w:rsid w:val="009B53B7"/>
    <w:rsid w:val="009B549B"/>
    <w:rsid w:val="009B549C"/>
    <w:rsid w:val="009B5611"/>
    <w:rsid w:val="009B590E"/>
    <w:rsid w:val="009B5A3E"/>
    <w:rsid w:val="009B5C70"/>
    <w:rsid w:val="009B5F3E"/>
    <w:rsid w:val="009B6394"/>
    <w:rsid w:val="009B6629"/>
    <w:rsid w:val="009B6653"/>
    <w:rsid w:val="009B71FF"/>
    <w:rsid w:val="009B77E9"/>
    <w:rsid w:val="009B7A06"/>
    <w:rsid w:val="009B7DEC"/>
    <w:rsid w:val="009B7FD5"/>
    <w:rsid w:val="009C02C5"/>
    <w:rsid w:val="009C0556"/>
    <w:rsid w:val="009C095D"/>
    <w:rsid w:val="009C0CA8"/>
    <w:rsid w:val="009C1230"/>
    <w:rsid w:val="009C124A"/>
    <w:rsid w:val="009C12DD"/>
    <w:rsid w:val="009C14AB"/>
    <w:rsid w:val="009C1567"/>
    <w:rsid w:val="009C1EAC"/>
    <w:rsid w:val="009C2134"/>
    <w:rsid w:val="009C2539"/>
    <w:rsid w:val="009C273A"/>
    <w:rsid w:val="009C2A5E"/>
    <w:rsid w:val="009C33AE"/>
    <w:rsid w:val="009C33CD"/>
    <w:rsid w:val="009C3A74"/>
    <w:rsid w:val="009C3D43"/>
    <w:rsid w:val="009C3EBB"/>
    <w:rsid w:val="009C400E"/>
    <w:rsid w:val="009C4206"/>
    <w:rsid w:val="009C4566"/>
    <w:rsid w:val="009C46B8"/>
    <w:rsid w:val="009C4AF4"/>
    <w:rsid w:val="009C521D"/>
    <w:rsid w:val="009C527B"/>
    <w:rsid w:val="009C52EE"/>
    <w:rsid w:val="009C5410"/>
    <w:rsid w:val="009C5605"/>
    <w:rsid w:val="009C56F5"/>
    <w:rsid w:val="009C5D0C"/>
    <w:rsid w:val="009C5E75"/>
    <w:rsid w:val="009C5F24"/>
    <w:rsid w:val="009C6453"/>
    <w:rsid w:val="009C6502"/>
    <w:rsid w:val="009C683D"/>
    <w:rsid w:val="009C6A8E"/>
    <w:rsid w:val="009C6B5E"/>
    <w:rsid w:val="009C6E04"/>
    <w:rsid w:val="009C7533"/>
    <w:rsid w:val="009C75AF"/>
    <w:rsid w:val="009C7865"/>
    <w:rsid w:val="009C78D6"/>
    <w:rsid w:val="009D0213"/>
    <w:rsid w:val="009D0655"/>
    <w:rsid w:val="009D0A23"/>
    <w:rsid w:val="009D0AB8"/>
    <w:rsid w:val="009D0B29"/>
    <w:rsid w:val="009D0E6D"/>
    <w:rsid w:val="009D0EAB"/>
    <w:rsid w:val="009D0F76"/>
    <w:rsid w:val="009D1093"/>
    <w:rsid w:val="009D1319"/>
    <w:rsid w:val="009D1624"/>
    <w:rsid w:val="009D182B"/>
    <w:rsid w:val="009D1B8D"/>
    <w:rsid w:val="009D1CE4"/>
    <w:rsid w:val="009D1E3F"/>
    <w:rsid w:val="009D20F7"/>
    <w:rsid w:val="009D2E6B"/>
    <w:rsid w:val="009D2EA4"/>
    <w:rsid w:val="009D3281"/>
    <w:rsid w:val="009D32C8"/>
    <w:rsid w:val="009D3968"/>
    <w:rsid w:val="009D3A13"/>
    <w:rsid w:val="009D3C07"/>
    <w:rsid w:val="009D3D5B"/>
    <w:rsid w:val="009D405D"/>
    <w:rsid w:val="009D4843"/>
    <w:rsid w:val="009D4C36"/>
    <w:rsid w:val="009D4DE1"/>
    <w:rsid w:val="009D52A1"/>
    <w:rsid w:val="009D55B9"/>
    <w:rsid w:val="009D57D2"/>
    <w:rsid w:val="009D5B9A"/>
    <w:rsid w:val="009D5C09"/>
    <w:rsid w:val="009D64F3"/>
    <w:rsid w:val="009D6951"/>
    <w:rsid w:val="009D6A2C"/>
    <w:rsid w:val="009D6F13"/>
    <w:rsid w:val="009D7385"/>
    <w:rsid w:val="009D770A"/>
    <w:rsid w:val="009E0133"/>
    <w:rsid w:val="009E03FB"/>
    <w:rsid w:val="009E0565"/>
    <w:rsid w:val="009E0DE8"/>
    <w:rsid w:val="009E0E89"/>
    <w:rsid w:val="009E1015"/>
    <w:rsid w:val="009E10BA"/>
    <w:rsid w:val="009E12C6"/>
    <w:rsid w:val="009E15F1"/>
    <w:rsid w:val="009E16A0"/>
    <w:rsid w:val="009E1B8B"/>
    <w:rsid w:val="009E204B"/>
    <w:rsid w:val="009E2504"/>
    <w:rsid w:val="009E2678"/>
    <w:rsid w:val="009E2739"/>
    <w:rsid w:val="009E283F"/>
    <w:rsid w:val="009E2CED"/>
    <w:rsid w:val="009E2F0C"/>
    <w:rsid w:val="009E31E5"/>
    <w:rsid w:val="009E3373"/>
    <w:rsid w:val="009E33AA"/>
    <w:rsid w:val="009E36AB"/>
    <w:rsid w:val="009E3C11"/>
    <w:rsid w:val="009E3FFF"/>
    <w:rsid w:val="009E4740"/>
    <w:rsid w:val="009E497A"/>
    <w:rsid w:val="009E4A4E"/>
    <w:rsid w:val="009E4FED"/>
    <w:rsid w:val="009E551D"/>
    <w:rsid w:val="009E55DE"/>
    <w:rsid w:val="009E560D"/>
    <w:rsid w:val="009E563C"/>
    <w:rsid w:val="009E563D"/>
    <w:rsid w:val="009E5910"/>
    <w:rsid w:val="009E5D0A"/>
    <w:rsid w:val="009E5FC6"/>
    <w:rsid w:val="009E6596"/>
    <w:rsid w:val="009E690E"/>
    <w:rsid w:val="009E6AB7"/>
    <w:rsid w:val="009E6D26"/>
    <w:rsid w:val="009E7117"/>
    <w:rsid w:val="009E71BB"/>
    <w:rsid w:val="009E79C3"/>
    <w:rsid w:val="009E79E5"/>
    <w:rsid w:val="009E7AB2"/>
    <w:rsid w:val="009E7BE2"/>
    <w:rsid w:val="009E7C85"/>
    <w:rsid w:val="009F0D98"/>
    <w:rsid w:val="009F0DC1"/>
    <w:rsid w:val="009F123F"/>
    <w:rsid w:val="009F14DB"/>
    <w:rsid w:val="009F160D"/>
    <w:rsid w:val="009F1796"/>
    <w:rsid w:val="009F1B63"/>
    <w:rsid w:val="009F26F1"/>
    <w:rsid w:val="009F2706"/>
    <w:rsid w:val="009F2795"/>
    <w:rsid w:val="009F296C"/>
    <w:rsid w:val="009F2AA8"/>
    <w:rsid w:val="009F2AEE"/>
    <w:rsid w:val="009F2E34"/>
    <w:rsid w:val="009F2F9E"/>
    <w:rsid w:val="009F2FE9"/>
    <w:rsid w:val="009F31D6"/>
    <w:rsid w:val="009F3CF6"/>
    <w:rsid w:val="009F439E"/>
    <w:rsid w:val="009F511F"/>
    <w:rsid w:val="009F541A"/>
    <w:rsid w:val="009F5878"/>
    <w:rsid w:val="009F5ADF"/>
    <w:rsid w:val="009F5F4C"/>
    <w:rsid w:val="009F5F93"/>
    <w:rsid w:val="009F62AB"/>
    <w:rsid w:val="009F6644"/>
    <w:rsid w:val="009F6760"/>
    <w:rsid w:val="009F6853"/>
    <w:rsid w:val="009F6D03"/>
    <w:rsid w:val="009F6E15"/>
    <w:rsid w:val="009F737E"/>
    <w:rsid w:val="009F761D"/>
    <w:rsid w:val="009F77A9"/>
    <w:rsid w:val="009F7877"/>
    <w:rsid w:val="009F7A4E"/>
    <w:rsid w:val="009F7A60"/>
    <w:rsid w:val="009F7B70"/>
    <w:rsid w:val="009F7BDF"/>
    <w:rsid w:val="009F7FEF"/>
    <w:rsid w:val="00A0020F"/>
    <w:rsid w:val="00A00337"/>
    <w:rsid w:val="00A008AB"/>
    <w:rsid w:val="00A00B13"/>
    <w:rsid w:val="00A00BA1"/>
    <w:rsid w:val="00A01722"/>
    <w:rsid w:val="00A0196E"/>
    <w:rsid w:val="00A01A78"/>
    <w:rsid w:val="00A01C8D"/>
    <w:rsid w:val="00A01E97"/>
    <w:rsid w:val="00A020B5"/>
    <w:rsid w:val="00A0225E"/>
    <w:rsid w:val="00A02BB4"/>
    <w:rsid w:val="00A02CE6"/>
    <w:rsid w:val="00A02CF0"/>
    <w:rsid w:val="00A03415"/>
    <w:rsid w:val="00A036EE"/>
    <w:rsid w:val="00A03732"/>
    <w:rsid w:val="00A03A1D"/>
    <w:rsid w:val="00A03A3A"/>
    <w:rsid w:val="00A03CB1"/>
    <w:rsid w:val="00A03F8B"/>
    <w:rsid w:val="00A04024"/>
    <w:rsid w:val="00A04034"/>
    <w:rsid w:val="00A04148"/>
    <w:rsid w:val="00A0418B"/>
    <w:rsid w:val="00A04535"/>
    <w:rsid w:val="00A04984"/>
    <w:rsid w:val="00A04AF0"/>
    <w:rsid w:val="00A04B64"/>
    <w:rsid w:val="00A04CBB"/>
    <w:rsid w:val="00A05177"/>
    <w:rsid w:val="00A05319"/>
    <w:rsid w:val="00A05868"/>
    <w:rsid w:val="00A05E42"/>
    <w:rsid w:val="00A05F9F"/>
    <w:rsid w:val="00A0631A"/>
    <w:rsid w:val="00A066ED"/>
    <w:rsid w:val="00A06708"/>
    <w:rsid w:val="00A06725"/>
    <w:rsid w:val="00A0789C"/>
    <w:rsid w:val="00A07D7F"/>
    <w:rsid w:val="00A07F41"/>
    <w:rsid w:val="00A10392"/>
    <w:rsid w:val="00A10657"/>
    <w:rsid w:val="00A10748"/>
    <w:rsid w:val="00A1080E"/>
    <w:rsid w:val="00A108FA"/>
    <w:rsid w:val="00A109FC"/>
    <w:rsid w:val="00A10CD6"/>
    <w:rsid w:val="00A10D0A"/>
    <w:rsid w:val="00A10D83"/>
    <w:rsid w:val="00A10E4E"/>
    <w:rsid w:val="00A10E55"/>
    <w:rsid w:val="00A113EC"/>
    <w:rsid w:val="00A11835"/>
    <w:rsid w:val="00A11F61"/>
    <w:rsid w:val="00A11F82"/>
    <w:rsid w:val="00A121B9"/>
    <w:rsid w:val="00A122CA"/>
    <w:rsid w:val="00A124B5"/>
    <w:rsid w:val="00A12540"/>
    <w:rsid w:val="00A1267B"/>
    <w:rsid w:val="00A129ED"/>
    <w:rsid w:val="00A13340"/>
    <w:rsid w:val="00A134FD"/>
    <w:rsid w:val="00A13506"/>
    <w:rsid w:val="00A1360F"/>
    <w:rsid w:val="00A13B9C"/>
    <w:rsid w:val="00A14281"/>
    <w:rsid w:val="00A14484"/>
    <w:rsid w:val="00A148A2"/>
    <w:rsid w:val="00A14A35"/>
    <w:rsid w:val="00A14F3C"/>
    <w:rsid w:val="00A15302"/>
    <w:rsid w:val="00A15335"/>
    <w:rsid w:val="00A15DFA"/>
    <w:rsid w:val="00A15E2B"/>
    <w:rsid w:val="00A161BF"/>
    <w:rsid w:val="00A164F1"/>
    <w:rsid w:val="00A16551"/>
    <w:rsid w:val="00A16571"/>
    <w:rsid w:val="00A16B74"/>
    <w:rsid w:val="00A16BCC"/>
    <w:rsid w:val="00A16CBC"/>
    <w:rsid w:val="00A16E11"/>
    <w:rsid w:val="00A16E91"/>
    <w:rsid w:val="00A171DA"/>
    <w:rsid w:val="00A176F8"/>
    <w:rsid w:val="00A1786A"/>
    <w:rsid w:val="00A17936"/>
    <w:rsid w:val="00A17DE9"/>
    <w:rsid w:val="00A20119"/>
    <w:rsid w:val="00A20850"/>
    <w:rsid w:val="00A2087D"/>
    <w:rsid w:val="00A2096B"/>
    <w:rsid w:val="00A20BA3"/>
    <w:rsid w:val="00A20D01"/>
    <w:rsid w:val="00A21C40"/>
    <w:rsid w:val="00A21C74"/>
    <w:rsid w:val="00A22074"/>
    <w:rsid w:val="00A22347"/>
    <w:rsid w:val="00A22441"/>
    <w:rsid w:val="00A224A0"/>
    <w:rsid w:val="00A22B40"/>
    <w:rsid w:val="00A22C88"/>
    <w:rsid w:val="00A23275"/>
    <w:rsid w:val="00A23661"/>
    <w:rsid w:val="00A236A6"/>
    <w:rsid w:val="00A23957"/>
    <w:rsid w:val="00A23E46"/>
    <w:rsid w:val="00A241D9"/>
    <w:rsid w:val="00A24691"/>
    <w:rsid w:val="00A24B74"/>
    <w:rsid w:val="00A24F52"/>
    <w:rsid w:val="00A2508D"/>
    <w:rsid w:val="00A25235"/>
    <w:rsid w:val="00A255B1"/>
    <w:rsid w:val="00A25807"/>
    <w:rsid w:val="00A25834"/>
    <w:rsid w:val="00A258AA"/>
    <w:rsid w:val="00A258D3"/>
    <w:rsid w:val="00A25D6D"/>
    <w:rsid w:val="00A2615B"/>
    <w:rsid w:val="00A2673F"/>
    <w:rsid w:val="00A2687C"/>
    <w:rsid w:val="00A27375"/>
    <w:rsid w:val="00A275C6"/>
    <w:rsid w:val="00A27A49"/>
    <w:rsid w:val="00A30054"/>
    <w:rsid w:val="00A3005B"/>
    <w:rsid w:val="00A30838"/>
    <w:rsid w:val="00A30C8A"/>
    <w:rsid w:val="00A30DF0"/>
    <w:rsid w:val="00A3126A"/>
    <w:rsid w:val="00A3131C"/>
    <w:rsid w:val="00A31336"/>
    <w:rsid w:val="00A31380"/>
    <w:rsid w:val="00A3141E"/>
    <w:rsid w:val="00A32047"/>
    <w:rsid w:val="00A322FE"/>
    <w:rsid w:val="00A32436"/>
    <w:rsid w:val="00A32442"/>
    <w:rsid w:val="00A325B1"/>
    <w:rsid w:val="00A3261F"/>
    <w:rsid w:val="00A32CFA"/>
    <w:rsid w:val="00A32D3E"/>
    <w:rsid w:val="00A32D86"/>
    <w:rsid w:val="00A32DD5"/>
    <w:rsid w:val="00A330F6"/>
    <w:rsid w:val="00A335CB"/>
    <w:rsid w:val="00A33C62"/>
    <w:rsid w:val="00A33C84"/>
    <w:rsid w:val="00A34729"/>
    <w:rsid w:val="00A3492E"/>
    <w:rsid w:val="00A34BD8"/>
    <w:rsid w:val="00A350BC"/>
    <w:rsid w:val="00A3514D"/>
    <w:rsid w:val="00A351B5"/>
    <w:rsid w:val="00A352A0"/>
    <w:rsid w:val="00A35549"/>
    <w:rsid w:val="00A36271"/>
    <w:rsid w:val="00A3640E"/>
    <w:rsid w:val="00A36814"/>
    <w:rsid w:val="00A3690B"/>
    <w:rsid w:val="00A37285"/>
    <w:rsid w:val="00A378CA"/>
    <w:rsid w:val="00A37B32"/>
    <w:rsid w:val="00A37C24"/>
    <w:rsid w:val="00A4012A"/>
    <w:rsid w:val="00A4097E"/>
    <w:rsid w:val="00A40FFE"/>
    <w:rsid w:val="00A41423"/>
    <w:rsid w:val="00A41842"/>
    <w:rsid w:val="00A41A62"/>
    <w:rsid w:val="00A41E63"/>
    <w:rsid w:val="00A41F69"/>
    <w:rsid w:val="00A427FD"/>
    <w:rsid w:val="00A42D89"/>
    <w:rsid w:val="00A43511"/>
    <w:rsid w:val="00A43691"/>
    <w:rsid w:val="00A436C9"/>
    <w:rsid w:val="00A43731"/>
    <w:rsid w:val="00A437CA"/>
    <w:rsid w:val="00A437E6"/>
    <w:rsid w:val="00A438AD"/>
    <w:rsid w:val="00A43F01"/>
    <w:rsid w:val="00A446C7"/>
    <w:rsid w:val="00A4482B"/>
    <w:rsid w:val="00A44853"/>
    <w:rsid w:val="00A448DA"/>
    <w:rsid w:val="00A449AE"/>
    <w:rsid w:val="00A44E3A"/>
    <w:rsid w:val="00A44FDE"/>
    <w:rsid w:val="00A45450"/>
    <w:rsid w:val="00A455B4"/>
    <w:rsid w:val="00A45E61"/>
    <w:rsid w:val="00A466FB"/>
    <w:rsid w:val="00A470A4"/>
    <w:rsid w:val="00A47158"/>
    <w:rsid w:val="00A47332"/>
    <w:rsid w:val="00A473B7"/>
    <w:rsid w:val="00A475ED"/>
    <w:rsid w:val="00A500A9"/>
    <w:rsid w:val="00A501A1"/>
    <w:rsid w:val="00A50471"/>
    <w:rsid w:val="00A5049D"/>
    <w:rsid w:val="00A50711"/>
    <w:rsid w:val="00A507AA"/>
    <w:rsid w:val="00A507BF"/>
    <w:rsid w:val="00A516A6"/>
    <w:rsid w:val="00A5197B"/>
    <w:rsid w:val="00A51B2F"/>
    <w:rsid w:val="00A51C85"/>
    <w:rsid w:val="00A51E6E"/>
    <w:rsid w:val="00A52122"/>
    <w:rsid w:val="00A5217C"/>
    <w:rsid w:val="00A524B0"/>
    <w:rsid w:val="00A52F64"/>
    <w:rsid w:val="00A5307A"/>
    <w:rsid w:val="00A53363"/>
    <w:rsid w:val="00A535BA"/>
    <w:rsid w:val="00A53990"/>
    <w:rsid w:val="00A53DF9"/>
    <w:rsid w:val="00A5433E"/>
    <w:rsid w:val="00A54735"/>
    <w:rsid w:val="00A54E5B"/>
    <w:rsid w:val="00A551BE"/>
    <w:rsid w:val="00A55608"/>
    <w:rsid w:val="00A556C7"/>
    <w:rsid w:val="00A55B91"/>
    <w:rsid w:val="00A55D32"/>
    <w:rsid w:val="00A55E50"/>
    <w:rsid w:val="00A562B5"/>
    <w:rsid w:val="00A564DB"/>
    <w:rsid w:val="00A565BF"/>
    <w:rsid w:val="00A5681F"/>
    <w:rsid w:val="00A56CAF"/>
    <w:rsid w:val="00A56F15"/>
    <w:rsid w:val="00A56FD7"/>
    <w:rsid w:val="00A570A6"/>
    <w:rsid w:val="00A5725A"/>
    <w:rsid w:val="00A57285"/>
    <w:rsid w:val="00A576AE"/>
    <w:rsid w:val="00A577D5"/>
    <w:rsid w:val="00A578CB"/>
    <w:rsid w:val="00A57C6B"/>
    <w:rsid w:val="00A57CDF"/>
    <w:rsid w:val="00A57DFC"/>
    <w:rsid w:val="00A57E29"/>
    <w:rsid w:val="00A600D4"/>
    <w:rsid w:val="00A60A65"/>
    <w:rsid w:val="00A60CD9"/>
    <w:rsid w:val="00A60E62"/>
    <w:rsid w:val="00A61C3F"/>
    <w:rsid w:val="00A61D21"/>
    <w:rsid w:val="00A61F26"/>
    <w:rsid w:val="00A61FB9"/>
    <w:rsid w:val="00A621D0"/>
    <w:rsid w:val="00A62321"/>
    <w:rsid w:val="00A6286A"/>
    <w:rsid w:val="00A629FC"/>
    <w:rsid w:val="00A62CE6"/>
    <w:rsid w:val="00A63371"/>
    <w:rsid w:val="00A63583"/>
    <w:rsid w:val="00A63FCF"/>
    <w:rsid w:val="00A641B8"/>
    <w:rsid w:val="00A645B1"/>
    <w:rsid w:val="00A6486B"/>
    <w:rsid w:val="00A64DE9"/>
    <w:rsid w:val="00A65667"/>
    <w:rsid w:val="00A657A4"/>
    <w:rsid w:val="00A65842"/>
    <w:rsid w:val="00A658DA"/>
    <w:rsid w:val="00A65AC7"/>
    <w:rsid w:val="00A66F4C"/>
    <w:rsid w:val="00A66FF4"/>
    <w:rsid w:val="00A6729F"/>
    <w:rsid w:val="00A672B0"/>
    <w:rsid w:val="00A67637"/>
    <w:rsid w:val="00A676AF"/>
    <w:rsid w:val="00A67859"/>
    <w:rsid w:val="00A679CE"/>
    <w:rsid w:val="00A67ACF"/>
    <w:rsid w:val="00A67C23"/>
    <w:rsid w:val="00A67F3A"/>
    <w:rsid w:val="00A67FE9"/>
    <w:rsid w:val="00A7000B"/>
    <w:rsid w:val="00A7009A"/>
    <w:rsid w:val="00A701DD"/>
    <w:rsid w:val="00A7066E"/>
    <w:rsid w:val="00A706A1"/>
    <w:rsid w:val="00A7075C"/>
    <w:rsid w:val="00A70A58"/>
    <w:rsid w:val="00A70C70"/>
    <w:rsid w:val="00A71009"/>
    <w:rsid w:val="00A71047"/>
    <w:rsid w:val="00A711AE"/>
    <w:rsid w:val="00A712DE"/>
    <w:rsid w:val="00A7133E"/>
    <w:rsid w:val="00A7154F"/>
    <w:rsid w:val="00A71C3D"/>
    <w:rsid w:val="00A71E47"/>
    <w:rsid w:val="00A722D1"/>
    <w:rsid w:val="00A72378"/>
    <w:rsid w:val="00A726B4"/>
    <w:rsid w:val="00A729E8"/>
    <w:rsid w:val="00A72A2B"/>
    <w:rsid w:val="00A72AFA"/>
    <w:rsid w:val="00A72CDB"/>
    <w:rsid w:val="00A72E43"/>
    <w:rsid w:val="00A7392F"/>
    <w:rsid w:val="00A73A5C"/>
    <w:rsid w:val="00A73B49"/>
    <w:rsid w:val="00A73E8C"/>
    <w:rsid w:val="00A73FB9"/>
    <w:rsid w:val="00A74085"/>
    <w:rsid w:val="00A741B2"/>
    <w:rsid w:val="00A74540"/>
    <w:rsid w:val="00A74649"/>
    <w:rsid w:val="00A747E2"/>
    <w:rsid w:val="00A748A8"/>
    <w:rsid w:val="00A74B76"/>
    <w:rsid w:val="00A74E05"/>
    <w:rsid w:val="00A75393"/>
    <w:rsid w:val="00A7550E"/>
    <w:rsid w:val="00A75682"/>
    <w:rsid w:val="00A75775"/>
    <w:rsid w:val="00A76052"/>
    <w:rsid w:val="00A7635D"/>
    <w:rsid w:val="00A765CF"/>
    <w:rsid w:val="00A771C4"/>
    <w:rsid w:val="00A774F4"/>
    <w:rsid w:val="00A7755F"/>
    <w:rsid w:val="00A77705"/>
    <w:rsid w:val="00A77820"/>
    <w:rsid w:val="00A77987"/>
    <w:rsid w:val="00A779AB"/>
    <w:rsid w:val="00A800DD"/>
    <w:rsid w:val="00A8048E"/>
    <w:rsid w:val="00A804C2"/>
    <w:rsid w:val="00A80586"/>
    <w:rsid w:val="00A805A4"/>
    <w:rsid w:val="00A80FFC"/>
    <w:rsid w:val="00A811F2"/>
    <w:rsid w:val="00A81350"/>
    <w:rsid w:val="00A8153A"/>
    <w:rsid w:val="00A816BC"/>
    <w:rsid w:val="00A816DF"/>
    <w:rsid w:val="00A81ABC"/>
    <w:rsid w:val="00A81AE5"/>
    <w:rsid w:val="00A81AE8"/>
    <w:rsid w:val="00A81CC4"/>
    <w:rsid w:val="00A81D4A"/>
    <w:rsid w:val="00A81F9F"/>
    <w:rsid w:val="00A820A5"/>
    <w:rsid w:val="00A82681"/>
    <w:rsid w:val="00A82893"/>
    <w:rsid w:val="00A828D9"/>
    <w:rsid w:val="00A82FA5"/>
    <w:rsid w:val="00A831A4"/>
    <w:rsid w:val="00A83295"/>
    <w:rsid w:val="00A833E4"/>
    <w:rsid w:val="00A8353F"/>
    <w:rsid w:val="00A84192"/>
    <w:rsid w:val="00A8438D"/>
    <w:rsid w:val="00A845C7"/>
    <w:rsid w:val="00A847F8"/>
    <w:rsid w:val="00A84B17"/>
    <w:rsid w:val="00A85250"/>
    <w:rsid w:val="00A8535F"/>
    <w:rsid w:val="00A8541B"/>
    <w:rsid w:val="00A8555D"/>
    <w:rsid w:val="00A85CB6"/>
    <w:rsid w:val="00A86349"/>
    <w:rsid w:val="00A866D4"/>
    <w:rsid w:val="00A8682F"/>
    <w:rsid w:val="00A86B70"/>
    <w:rsid w:val="00A87F6E"/>
    <w:rsid w:val="00A87FC4"/>
    <w:rsid w:val="00A90EA6"/>
    <w:rsid w:val="00A90F76"/>
    <w:rsid w:val="00A910BF"/>
    <w:rsid w:val="00A91B98"/>
    <w:rsid w:val="00A91D14"/>
    <w:rsid w:val="00A9206B"/>
    <w:rsid w:val="00A9246E"/>
    <w:rsid w:val="00A92B54"/>
    <w:rsid w:val="00A92BB9"/>
    <w:rsid w:val="00A92DA5"/>
    <w:rsid w:val="00A93AFC"/>
    <w:rsid w:val="00A93C30"/>
    <w:rsid w:val="00A93C85"/>
    <w:rsid w:val="00A93E24"/>
    <w:rsid w:val="00A940C0"/>
    <w:rsid w:val="00A94134"/>
    <w:rsid w:val="00A94346"/>
    <w:rsid w:val="00A9459F"/>
    <w:rsid w:val="00A94752"/>
    <w:rsid w:val="00A94D5C"/>
    <w:rsid w:val="00A95245"/>
    <w:rsid w:val="00A95332"/>
    <w:rsid w:val="00A9554D"/>
    <w:rsid w:val="00A95A42"/>
    <w:rsid w:val="00A95BBD"/>
    <w:rsid w:val="00A95F87"/>
    <w:rsid w:val="00A96458"/>
    <w:rsid w:val="00A964A6"/>
    <w:rsid w:val="00A964B7"/>
    <w:rsid w:val="00A966BD"/>
    <w:rsid w:val="00A966E2"/>
    <w:rsid w:val="00A967A9"/>
    <w:rsid w:val="00A96871"/>
    <w:rsid w:val="00A96EBF"/>
    <w:rsid w:val="00A97303"/>
    <w:rsid w:val="00A97488"/>
    <w:rsid w:val="00A97797"/>
    <w:rsid w:val="00A97A00"/>
    <w:rsid w:val="00A97DCB"/>
    <w:rsid w:val="00A97E62"/>
    <w:rsid w:val="00AA0636"/>
    <w:rsid w:val="00AA0869"/>
    <w:rsid w:val="00AA0D41"/>
    <w:rsid w:val="00AA0D7C"/>
    <w:rsid w:val="00AA1409"/>
    <w:rsid w:val="00AA1905"/>
    <w:rsid w:val="00AA1CFE"/>
    <w:rsid w:val="00AA1DBB"/>
    <w:rsid w:val="00AA1E37"/>
    <w:rsid w:val="00AA2842"/>
    <w:rsid w:val="00AA2CCE"/>
    <w:rsid w:val="00AA300E"/>
    <w:rsid w:val="00AA36EE"/>
    <w:rsid w:val="00AA3B4D"/>
    <w:rsid w:val="00AA3D5A"/>
    <w:rsid w:val="00AA4A26"/>
    <w:rsid w:val="00AA4E73"/>
    <w:rsid w:val="00AA5335"/>
    <w:rsid w:val="00AA55E1"/>
    <w:rsid w:val="00AA5BDA"/>
    <w:rsid w:val="00AA5CDF"/>
    <w:rsid w:val="00AA5F54"/>
    <w:rsid w:val="00AA614E"/>
    <w:rsid w:val="00AA6463"/>
    <w:rsid w:val="00AA678B"/>
    <w:rsid w:val="00AA6896"/>
    <w:rsid w:val="00AA68A1"/>
    <w:rsid w:val="00AA6AA4"/>
    <w:rsid w:val="00AA6B1A"/>
    <w:rsid w:val="00AA6BD5"/>
    <w:rsid w:val="00AA6F07"/>
    <w:rsid w:val="00AA7043"/>
    <w:rsid w:val="00AA7828"/>
    <w:rsid w:val="00AA7BF2"/>
    <w:rsid w:val="00AB02CB"/>
    <w:rsid w:val="00AB05F1"/>
    <w:rsid w:val="00AB05FE"/>
    <w:rsid w:val="00AB0A1F"/>
    <w:rsid w:val="00AB0DDB"/>
    <w:rsid w:val="00AB139B"/>
    <w:rsid w:val="00AB171A"/>
    <w:rsid w:val="00AB1B6C"/>
    <w:rsid w:val="00AB1BF3"/>
    <w:rsid w:val="00AB1F1C"/>
    <w:rsid w:val="00AB2278"/>
    <w:rsid w:val="00AB23C5"/>
    <w:rsid w:val="00AB27CF"/>
    <w:rsid w:val="00AB2AED"/>
    <w:rsid w:val="00AB2D34"/>
    <w:rsid w:val="00AB2DC6"/>
    <w:rsid w:val="00AB2DFD"/>
    <w:rsid w:val="00AB30EF"/>
    <w:rsid w:val="00AB317F"/>
    <w:rsid w:val="00AB3210"/>
    <w:rsid w:val="00AB35EE"/>
    <w:rsid w:val="00AB3AB5"/>
    <w:rsid w:val="00AB3E15"/>
    <w:rsid w:val="00AB3F26"/>
    <w:rsid w:val="00AB4003"/>
    <w:rsid w:val="00AB40D8"/>
    <w:rsid w:val="00AB426C"/>
    <w:rsid w:val="00AB43D2"/>
    <w:rsid w:val="00AB4516"/>
    <w:rsid w:val="00AB4A53"/>
    <w:rsid w:val="00AB4D9A"/>
    <w:rsid w:val="00AB5048"/>
    <w:rsid w:val="00AB521B"/>
    <w:rsid w:val="00AB52A4"/>
    <w:rsid w:val="00AB53B0"/>
    <w:rsid w:val="00AB5535"/>
    <w:rsid w:val="00AB5963"/>
    <w:rsid w:val="00AB5C93"/>
    <w:rsid w:val="00AB5CF6"/>
    <w:rsid w:val="00AB5D5C"/>
    <w:rsid w:val="00AB5EAF"/>
    <w:rsid w:val="00AB5F14"/>
    <w:rsid w:val="00AB63A0"/>
    <w:rsid w:val="00AB6428"/>
    <w:rsid w:val="00AB6844"/>
    <w:rsid w:val="00AB6907"/>
    <w:rsid w:val="00AB69F8"/>
    <w:rsid w:val="00AB6BFF"/>
    <w:rsid w:val="00AB6D26"/>
    <w:rsid w:val="00AB6E36"/>
    <w:rsid w:val="00AB6EDD"/>
    <w:rsid w:val="00AB7070"/>
    <w:rsid w:val="00AB773A"/>
    <w:rsid w:val="00AB7859"/>
    <w:rsid w:val="00AB795E"/>
    <w:rsid w:val="00AB799D"/>
    <w:rsid w:val="00AB7EC6"/>
    <w:rsid w:val="00AB7F11"/>
    <w:rsid w:val="00AC002F"/>
    <w:rsid w:val="00AC05C3"/>
    <w:rsid w:val="00AC065A"/>
    <w:rsid w:val="00AC0948"/>
    <w:rsid w:val="00AC0A57"/>
    <w:rsid w:val="00AC0AF9"/>
    <w:rsid w:val="00AC0B90"/>
    <w:rsid w:val="00AC11BD"/>
    <w:rsid w:val="00AC15E4"/>
    <w:rsid w:val="00AC16B9"/>
    <w:rsid w:val="00AC1D04"/>
    <w:rsid w:val="00AC1F4F"/>
    <w:rsid w:val="00AC22F7"/>
    <w:rsid w:val="00AC2AB1"/>
    <w:rsid w:val="00AC2B72"/>
    <w:rsid w:val="00AC2C1E"/>
    <w:rsid w:val="00AC3A97"/>
    <w:rsid w:val="00AC3B5F"/>
    <w:rsid w:val="00AC3E18"/>
    <w:rsid w:val="00AC3EAC"/>
    <w:rsid w:val="00AC3F0F"/>
    <w:rsid w:val="00AC418D"/>
    <w:rsid w:val="00AC4193"/>
    <w:rsid w:val="00AC45D2"/>
    <w:rsid w:val="00AC464A"/>
    <w:rsid w:val="00AC4658"/>
    <w:rsid w:val="00AC4663"/>
    <w:rsid w:val="00AC4707"/>
    <w:rsid w:val="00AC48A9"/>
    <w:rsid w:val="00AC5495"/>
    <w:rsid w:val="00AC56F8"/>
    <w:rsid w:val="00AC57BD"/>
    <w:rsid w:val="00AC596A"/>
    <w:rsid w:val="00AC5BE2"/>
    <w:rsid w:val="00AC5F73"/>
    <w:rsid w:val="00AC5F8C"/>
    <w:rsid w:val="00AC631A"/>
    <w:rsid w:val="00AC63F9"/>
    <w:rsid w:val="00AC65DE"/>
    <w:rsid w:val="00AC66E0"/>
    <w:rsid w:val="00AC6741"/>
    <w:rsid w:val="00AC6980"/>
    <w:rsid w:val="00AC6E6D"/>
    <w:rsid w:val="00AC7969"/>
    <w:rsid w:val="00AC7F65"/>
    <w:rsid w:val="00AD069C"/>
    <w:rsid w:val="00AD0DA7"/>
    <w:rsid w:val="00AD15FA"/>
    <w:rsid w:val="00AD1845"/>
    <w:rsid w:val="00AD2156"/>
    <w:rsid w:val="00AD21CC"/>
    <w:rsid w:val="00AD223A"/>
    <w:rsid w:val="00AD2292"/>
    <w:rsid w:val="00AD2556"/>
    <w:rsid w:val="00AD2DE8"/>
    <w:rsid w:val="00AD31F5"/>
    <w:rsid w:val="00AD33DF"/>
    <w:rsid w:val="00AD3C9D"/>
    <w:rsid w:val="00AD41AA"/>
    <w:rsid w:val="00AD425F"/>
    <w:rsid w:val="00AD43E9"/>
    <w:rsid w:val="00AD46EA"/>
    <w:rsid w:val="00AD4835"/>
    <w:rsid w:val="00AD493B"/>
    <w:rsid w:val="00AD4A09"/>
    <w:rsid w:val="00AD4A80"/>
    <w:rsid w:val="00AD4CB8"/>
    <w:rsid w:val="00AD4E44"/>
    <w:rsid w:val="00AD4F68"/>
    <w:rsid w:val="00AD5560"/>
    <w:rsid w:val="00AD5736"/>
    <w:rsid w:val="00AD5ACA"/>
    <w:rsid w:val="00AD5EEE"/>
    <w:rsid w:val="00AD5FCE"/>
    <w:rsid w:val="00AD5FDB"/>
    <w:rsid w:val="00AD617A"/>
    <w:rsid w:val="00AD63A2"/>
    <w:rsid w:val="00AD67CF"/>
    <w:rsid w:val="00AD6AB6"/>
    <w:rsid w:val="00AD6AB7"/>
    <w:rsid w:val="00AD7049"/>
    <w:rsid w:val="00AD75FB"/>
    <w:rsid w:val="00AD7CDA"/>
    <w:rsid w:val="00AE07C3"/>
    <w:rsid w:val="00AE0A41"/>
    <w:rsid w:val="00AE0D51"/>
    <w:rsid w:val="00AE100D"/>
    <w:rsid w:val="00AE1276"/>
    <w:rsid w:val="00AE146B"/>
    <w:rsid w:val="00AE14A2"/>
    <w:rsid w:val="00AE172E"/>
    <w:rsid w:val="00AE1C6A"/>
    <w:rsid w:val="00AE1D8D"/>
    <w:rsid w:val="00AE257F"/>
    <w:rsid w:val="00AE273E"/>
    <w:rsid w:val="00AE2D24"/>
    <w:rsid w:val="00AE2DA2"/>
    <w:rsid w:val="00AE30C7"/>
    <w:rsid w:val="00AE30EB"/>
    <w:rsid w:val="00AE37E9"/>
    <w:rsid w:val="00AE3824"/>
    <w:rsid w:val="00AE3ADF"/>
    <w:rsid w:val="00AE3C8A"/>
    <w:rsid w:val="00AE3D09"/>
    <w:rsid w:val="00AE4331"/>
    <w:rsid w:val="00AE4457"/>
    <w:rsid w:val="00AE45D0"/>
    <w:rsid w:val="00AE4BD0"/>
    <w:rsid w:val="00AE4D45"/>
    <w:rsid w:val="00AE5348"/>
    <w:rsid w:val="00AE549D"/>
    <w:rsid w:val="00AE54E6"/>
    <w:rsid w:val="00AE568B"/>
    <w:rsid w:val="00AE5B00"/>
    <w:rsid w:val="00AE5EC2"/>
    <w:rsid w:val="00AE5F13"/>
    <w:rsid w:val="00AE61F8"/>
    <w:rsid w:val="00AE6273"/>
    <w:rsid w:val="00AE63AD"/>
    <w:rsid w:val="00AE68D0"/>
    <w:rsid w:val="00AE715C"/>
    <w:rsid w:val="00AE7381"/>
    <w:rsid w:val="00AE7616"/>
    <w:rsid w:val="00AE7E09"/>
    <w:rsid w:val="00AF003E"/>
    <w:rsid w:val="00AF04F3"/>
    <w:rsid w:val="00AF0A52"/>
    <w:rsid w:val="00AF0C7C"/>
    <w:rsid w:val="00AF0C94"/>
    <w:rsid w:val="00AF0D98"/>
    <w:rsid w:val="00AF0E65"/>
    <w:rsid w:val="00AF10F7"/>
    <w:rsid w:val="00AF1441"/>
    <w:rsid w:val="00AF1466"/>
    <w:rsid w:val="00AF22EE"/>
    <w:rsid w:val="00AF2363"/>
    <w:rsid w:val="00AF24A7"/>
    <w:rsid w:val="00AF2610"/>
    <w:rsid w:val="00AF2718"/>
    <w:rsid w:val="00AF2A45"/>
    <w:rsid w:val="00AF2C72"/>
    <w:rsid w:val="00AF2FC2"/>
    <w:rsid w:val="00AF3497"/>
    <w:rsid w:val="00AF3730"/>
    <w:rsid w:val="00AF42A9"/>
    <w:rsid w:val="00AF4465"/>
    <w:rsid w:val="00AF4519"/>
    <w:rsid w:val="00AF4889"/>
    <w:rsid w:val="00AF490E"/>
    <w:rsid w:val="00AF4A50"/>
    <w:rsid w:val="00AF4CD6"/>
    <w:rsid w:val="00AF4D5B"/>
    <w:rsid w:val="00AF4DF7"/>
    <w:rsid w:val="00AF562C"/>
    <w:rsid w:val="00AF56AB"/>
    <w:rsid w:val="00AF58BA"/>
    <w:rsid w:val="00AF5AA1"/>
    <w:rsid w:val="00AF5D4C"/>
    <w:rsid w:val="00AF5F94"/>
    <w:rsid w:val="00AF612D"/>
    <w:rsid w:val="00AF6221"/>
    <w:rsid w:val="00AF64A8"/>
    <w:rsid w:val="00AF6562"/>
    <w:rsid w:val="00AF670A"/>
    <w:rsid w:val="00AF6732"/>
    <w:rsid w:val="00AF67EA"/>
    <w:rsid w:val="00AF6B2C"/>
    <w:rsid w:val="00AF6E91"/>
    <w:rsid w:val="00AF7857"/>
    <w:rsid w:val="00AF78C5"/>
    <w:rsid w:val="00AF79D7"/>
    <w:rsid w:val="00AF7ADE"/>
    <w:rsid w:val="00AF7BD0"/>
    <w:rsid w:val="00AF7CD9"/>
    <w:rsid w:val="00B0000B"/>
    <w:rsid w:val="00B00010"/>
    <w:rsid w:val="00B0016B"/>
    <w:rsid w:val="00B001B7"/>
    <w:rsid w:val="00B0026F"/>
    <w:rsid w:val="00B006C9"/>
    <w:rsid w:val="00B00FF4"/>
    <w:rsid w:val="00B01044"/>
    <w:rsid w:val="00B0106B"/>
    <w:rsid w:val="00B0139B"/>
    <w:rsid w:val="00B013F3"/>
    <w:rsid w:val="00B01519"/>
    <w:rsid w:val="00B01570"/>
    <w:rsid w:val="00B016BF"/>
    <w:rsid w:val="00B01711"/>
    <w:rsid w:val="00B02044"/>
    <w:rsid w:val="00B02960"/>
    <w:rsid w:val="00B02BC4"/>
    <w:rsid w:val="00B03429"/>
    <w:rsid w:val="00B035CF"/>
    <w:rsid w:val="00B03C91"/>
    <w:rsid w:val="00B044F2"/>
    <w:rsid w:val="00B04821"/>
    <w:rsid w:val="00B049B3"/>
    <w:rsid w:val="00B049D6"/>
    <w:rsid w:val="00B05641"/>
    <w:rsid w:val="00B05759"/>
    <w:rsid w:val="00B05785"/>
    <w:rsid w:val="00B05CE7"/>
    <w:rsid w:val="00B05DF8"/>
    <w:rsid w:val="00B061DB"/>
    <w:rsid w:val="00B064FB"/>
    <w:rsid w:val="00B06861"/>
    <w:rsid w:val="00B06C78"/>
    <w:rsid w:val="00B071FB"/>
    <w:rsid w:val="00B07503"/>
    <w:rsid w:val="00B07747"/>
    <w:rsid w:val="00B077D8"/>
    <w:rsid w:val="00B07A55"/>
    <w:rsid w:val="00B07B73"/>
    <w:rsid w:val="00B07FC0"/>
    <w:rsid w:val="00B10644"/>
    <w:rsid w:val="00B10A7F"/>
    <w:rsid w:val="00B10B71"/>
    <w:rsid w:val="00B112F8"/>
    <w:rsid w:val="00B11B42"/>
    <w:rsid w:val="00B123A6"/>
    <w:rsid w:val="00B1253A"/>
    <w:rsid w:val="00B12618"/>
    <w:rsid w:val="00B12650"/>
    <w:rsid w:val="00B12B95"/>
    <w:rsid w:val="00B13248"/>
    <w:rsid w:val="00B136AF"/>
    <w:rsid w:val="00B138AD"/>
    <w:rsid w:val="00B139A6"/>
    <w:rsid w:val="00B13C71"/>
    <w:rsid w:val="00B13D7F"/>
    <w:rsid w:val="00B13EE8"/>
    <w:rsid w:val="00B13FE9"/>
    <w:rsid w:val="00B14680"/>
    <w:rsid w:val="00B14956"/>
    <w:rsid w:val="00B14AAA"/>
    <w:rsid w:val="00B14DBF"/>
    <w:rsid w:val="00B15505"/>
    <w:rsid w:val="00B15655"/>
    <w:rsid w:val="00B1568E"/>
    <w:rsid w:val="00B15E1B"/>
    <w:rsid w:val="00B1619F"/>
    <w:rsid w:val="00B1633D"/>
    <w:rsid w:val="00B1640B"/>
    <w:rsid w:val="00B16C5A"/>
    <w:rsid w:val="00B17060"/>
    <w:rsid w:val="00B170BA"/>
    <w:rsid w:val="00B171D9"/>
    <w:rsid w:val="00B17570"/>
    <w:rsid w:val="00B17AFE"/>
    <w:rsid w:val="00B17FA1"/>
    <w:rsid w:val="00B206B5"/>
    <w:rsid w:val="00B20947"/>
    <w:rsid w:val="00B20DE9"/>
    <w:rsid w:val="00B21652"/>
    <w:rsid w:val="00B21B8C"/>
    <w:rsid w:val="00B21C3D"/>
    <w:rsid w:val="00B21DD9"/>
    <w:rsid w:val="00B21E7D"/>
    <w:rsid w:val="00B22043"/>
    <w:rsid w:val="00B220F3"/>
    <w:rsid w:val="00B22377"/>
    <w:rsid w:val="00B22672"/>
    <w:rsid w:val="00B227FF"/>
    <w:rsid w:val="00B22943"/>
    <w:rsid w:val="00B229E2"/>
    <w:rsid w:val="00B22A7D"/>
    <w:rsid w:val="00B22DCD"/>
    <w:rsid w:val="00B23105"/>
    <w:rsid w:val="00B23641"/>
    <w:rsid w:val="00B23949"/>
    <w:rsid w:val="00B23F19"/>
    <w:rsid w:val="00B24040"/>
    <w:rsid w:val="00B241E6"/>
    <w:rsid w:val="00B243A5"/>
    <w:rsid w:val="00B246B7"/>
    <w:rsid w:val="00B2478C"/>
    <w:rsid w:val="00B251C9"/>
    <w:rsid w:val="00B25336"/>
    <w:rsid w:val="00B25C78"/>
    <w:rsid w:val="00B25C91"/>
    <w:rsid w:val="00B261B5"/>
    <w:rsid w:val="00B26359"/>
    <w:rsid w:val="00B266FD"/>
    <w:rsid w:val="00B26AF5"/>
    <w:rsid w:val="00B26B5A"/>
    <w:rsid w:val="00B26C64"/>
    <w:rsid w:val="00B272BE"/>
    <w:rsid w:val="00B2768E"/>
    <w:rsid w:val="00B278C1"/>
    <w:rsid w:val="00B2797F"/>
    <w:rsid w:val="00B30367"/>
    <w:rsid w:val="00B3040E"/>
    <w:rsid w:val="00B30418"/>
    <w:rsid w:val="00B30972"/>
    <w:rsid w:val="00B30A79"/>
    <w:rsid w:val="00B30B44"/>
    <w:rsid w:val="00B30CF5"/>
    <w:rsid w:val="00B30F7F"/>
    <w:rsid w:val="00B3125C"/>
    <w:rsid w:val="00B31566"/>
    <w:rsid w:val="00B3196F"/>
    <w:rsid w:val="00B31AC8"/>
    <w:rsid w:val="00B31EC7"/>
    <w:rsid w:val="00B32632"/>
    <w:rsid w:val="00B32CF9"/>
    <w:rsid w:val="00B32D8A"/>
    <w:rsid w:val="00B330C9"/>
    <w:rsid w:val="00B334FE"/>
    <w:rsid w:val="00B3354A"/>
    <w:rsid w:val="00B335C5"/>
    <w:rsid w:val="00B33713"/>
    <w:rsid w:val="00B33CC6"/>
    <w:rsid w:val="00B33CD6"/>
    <w:rsid w:val="00B3409C"/>
    <w:rsid w:val="00B34886"/>
    <w:rsid w:val="00B35853"/>
    <w:rsid w:val="00B359BD"/>
    <w:rsid w:val="00B35AFE"/>
    <w:rsid w:val="00B35ED0"/>
    <w:rsid w:val="00B361AB"/>
    <w:rsid w:val="00B3664B"/>
    <w:rsid w:val="00B36772"/>
    <w:rsid w:val="00B36C5E"/>
    <w:rsid w:val="00B3740E"/>
    <w:rsid w:val="00B37735"/>
    <w:rsid w:val="00B37846"/>
    <w:rsid w:val="00B37955"/>
    <w:rsid w:val="00B37B78"/>
    <w:rsid w:val="00B37C3D"/>
    <w:rsid w:val="00B37D99"/>
    <w:rsid w:val="00B40394"/>
    <w:rsid w:val="00B40410"/>
    <w:rsid w:val="00B40571"/>
    <w:rsid w:val="00B40CB7"/>
    <w:rsid w:val="00B40E45"/>
    <w:rsid w:val="00B41247"/>
    <w:rsid w:val="00B412AF"/>
    <w:rsid w:val="00B41378"/>
    <w:rsid w:val="00B413B8"/>
    <w:rsid w:val="00B4142E"/>
    <w:rsid w:val="00B414EE"/>
    <w:rsid w:val="00B41DFC"/>
    <w:rsid w:val="00B41E6D"/>
    <w:rsid w:val="00B41ED4"/>
    <w:rsid w:val="00B422D1"/>
    <w:rsid w:val="00B426BC"/>
    <w:rsid w:val="00B428C3"/>
    <w:rsid w:val="00B42B24"/>
    <w:rsid w:val="00B42CBC"/>
    <w:rsid w:val="00B430AB"/>
    <w:rsid w:val="00B43109"/>
    <w:rsid w:val="00B43477"/>
    <w:rsid w:val="00B43D7A"/>
    <w:rsid w:val="00B43EC3"/>
    <w:rsid w:val="00B4410B"/>
    <w:rsid w:val="00B447C1"/>
    <w:rsid w:val="00B44EB8"/>
    <w:rsid w:val="00B4508D"/>
    <w:rsid w:val="00B45619"/>
    <w:rsid w:val="00B456A0"/>
    <w:rsid w:val="00B45774"/>
    <w:rsid w:val="00B45B10"/>
    <w:rsid w:val="00B45E60"/>
    <w:rsid w:val="00B45F4D"/>
    <w:rsid w:val="00B45F96"/>
    <w:rsid w:val="00B46C8E"/>
    <w:rsid w:val="00B46E5F"/>
    <w:rsid w:val="00B4760F"/>
    <w:rsid w:val="00B47A3D"/>
    <w:rsid w:val="00B47B58"/>
    <w:rsid w:val="00B47CDC"/>
    <w:rsid w:val="00B47CFF"/>
    <w:rsid w:val="00B50082"/>
    <w:rsid w:val="00B501E0"/>
    <w:rsid w:val="00B503F6"/>
    <w:rsid w:val="00B50CAD"/>
    <w:rsid w:val="00B5101E"/>
    <w:rsid w:val="00B5164D"/>
    <w:rsid w:val="00B51713"/>
    <w:rsid w:val="00B52348"/>
    <w:rsid w:val="00B523E1"/>
    <w:rsid w:val="00B52822"/>
    <w:rsid w:val="00B52B1F"/>
    <w:rsid w:val="00B52E22"/>
    <w:rsid w:val="00B52EA4"/>
    <w:rsid w:val="00B533EA"/>
    <w:rsid w:val="00B53949"/>
    <w:rsid w:val="00B539D2"/>
    <w:rsid w:val="00B53B4A"/>
    <w:rsid w:val="00B53F7F"/>
    <w:rsid w:val="00B54637"/>
    <w:rsid w:val="00B546D2"/>
    <w:rsid w:val="00B54745"/>
    <w:rsid w:val="00B54785"/>
    <w:rsid w:val="00B54C49"/>
    <w:rsid w:val="00B54E49"/>
    <w:rsid w:val="00B556D7"/>
    <w:rsid w:val="00B55A5F"/>
    <w:rsid w:val="00B55C7A"/>
    <w:rsid w:val="00B55E6B"/>
    <w:rsid w:val="00B564FF"/>
    <w:rsid w:val="00B5654F"/>
    <w:rsid w:val="00B56975"/>
    <w:rsid w:val="00B56A6B"/>
    <w:rsid w:val="00B56C6A"/>
    <w:rsid w:val="00B56CAC"/>
    <w:rsid w:val="00B56F07"/>
    <w:rsid w:val="00B56F82"/>
    <w:rsid w:val="00B5746C"/>
    <w:rsid w:val="00B578A1"/>
    <w:rsid w:val="00B57AB1"/>
    <w:rsid w:val="00B57E49"/>
    <w:rsid w:val="00B600E2"/>
    <w:rsid w:val="00B603B2"/>
    <w:rsid w:val="00B60504"/>
    <w:rsid w:val="00B60815"/>
    <w:rsid w:val="00B609BE"/>
    <w:rsid w:val="00B60A4B"/>
    <w:rsid w:val="00B60B9F"/>
    <w:rsid w:val="00B60F8E"/>
    <w:rsid w:val="00B61337"/>
    <w:rsid w:val="00B61883"/>
    <w:rsid w:val="00B61A83"/>
    <w:rsid w:val="00B61DFB"/>
    <w:rsid w:val="00B62163"/>
    <w:rsid w:val="00B6275F"/>
    <w:rsid w:val="00B62B6B"/>
    <w:rsid w:val="00B62EB1"/>
    <w:rsid w:val="00B635FD"/>
    <w:rsid w:val="00B639A7"/>
    <w:rsid w:val="00B63BB1"/>
    <w:rsid w:val="00B64040"/>
    <w:rsid w:val="00B64507"/>
    <w:rsid w:val="00B647B9"/>
    <w:rsid w:val="00B647BB"/>
    <w:rsid w:val="00B64E8D"/>
    <w:rsid w:val="00B64EB4"/>
    <w:rsid w:val="00B64F47"/>
    <w:rsid w:val="00B65000"/>
    <w:rsid w:val="00B65281"/>
    <w:rsid w:val="00B65301"/>
    <w:rsid w:val="00B65352"/>
    <w:rsid w:val="00B6592F"/>
    <w:rsid w:val="00B65F69"/>
    <w:rsid w:val="00B66761"/>
    <w:rsid w:val="00B667BC"/>
    <w:rsid w:val="00B66823"/>
    <w:rsid w:val="00B66B63"/>
    <w:rsid w:val="00B66F17"/>
    <w:rsid w:val="00B670A2"/>
    <w:rsid w:val="00B670AA"/>
    <w:rsid w:val="00B678FC"/>
    <w:rsid w:val="00B70064"/>
    <w:rsid w:val="00B701E0"/>
    <w:rsid w:val="00B707BB"/>
    <w:rsid w:val="00B707DF"/>
    <w:rsid w:val="00B70D67"/>
    <w:rsid w:val="00B70E8D"/>
    <w:rsid w:val="00B70E99"/>
    <w:rsid w:val="00B71049"/>
    <w:rsid w:val="00B7110C"/>
    <w:rsid w:val="00B71A78"/>
    <w:rsid w:val="00B71BB5"/>
    <w:rsid w:val="00B71CF5"/>
    <w:rsid w:val="00B71F61"/>
    <w:rsid w:val="00B720C0"/>
    <w:rsid w:val="00B721CD"/>
    <w:rsid w:val="00B72413"/>
    <w:rsid w:val="00B728AE"/>
    <w:rsid w:val="00B72D61"/>
    <w:rsid w:val="00B731F3"/>
    <w:rsid w:val="00B735B5"/>
    <w:rsid w:val="00B737FF"/>
    <w:rsid w:val="00B73C29"/>
    <w:rsid w:val="00B73E37"/>
    <w:rsid w:val="00B73E42"/>
    <w:rsid w:val="00B740A7"/>
    <w:rsid w:val="00B7415F"/>
    <w:rsid w:val="00B74167"/>
    <w:rsid w:val="00B7427C"/>
    <w:rsid w:val="00B74388"/>
    <w:rsid w:val="00B74922"/>
    <w:rsid w:val="00B74ABE"/>
    <w:rsid w:val="00B74C86"/>
    <w:rsid w:val="00B75559"/>
    <w:rsid w:val="00B76422"/>
    <w:rsid w:val="00B76509"/>
    <w:rsid w:val="00B7688E"/>
    <w:rsid w:val="00B76924"/>
    <w:rsid w:val="00B7696A"/>
    <w:rsid w:val="00B77515"/>
    <w:rsid w:val="00B7766B"/>
    <w:rsid w:val="00B77847"/>
    <w:rsid w:val="00B80182"/>
    <w:rsid w:val="00B803CF"/>
    <w:rsid w:val="00B80844"/>
    <w:rsid w:val="00B819F4"/>
    <w:rsid w:val="00B81C7F"/>
    <w:rsid w:val="00B81F98"/>
    <w:rsid w:val="00B81FCC"/>
    <w:rsid w:val="00B82170"/>
    <w:rsid w:val="00B8218F"/>
    <w:rsid w:val="00B8246D"/>
    <w:rsid w:val="00B8316F"/>
    <w:rsid w:val="00B8392C"/>
    <w:rsid w:val="00B83B4E"/>
    <w:rsid w:val="00B83BE8"/>
    <w:rsid w:val="00B83E17"/>
    <w:rsid w:val="00B84661"/>
    <w:rsid w:val="00B851FA"/>
    <w:rsid w:val="00B8609D"/>
    <w:rsid w:val="00B86125"/>
    <w:rsid w:val="00B862D0"/>
    <w:rsid w:val="00B864F5"/>
    <w:rsid w:val="00B86538"/>
    <w:rsid w:val="00B86732"/>
    <w:rsid w:val="00B868F4"/>
    <w:rsid w:val="00B86932"/>
    <w:rsid w:val="00B86C0B"/>
    <w:rsid w:val="00B86EA0"/>
    <w:rsid w:val="00B86ECB"/>
    <w:rsid w:val="00B86FDD"/>
    <w:rsid w:val="00B87143"/>
    <w:rsid w:val="00B875EF"/>
    <w:rsid w:val="00B9017D"/>
    <w:rsid w:val="00B90504"/>
    <w:rsid w:val="00B90682"/>
    <w:rsid w:val="00B90771"/>
    <w:rsid w:val="00B90866"/>
    <w:rsid w:val="00B908A5"/>
    <w:rsid w:val="00B90AB0"/>
    <w:rsid w:val="00B90C97"/>
    <w:rsid w:val="00B90D1C"/>
    <w:rsid w:val="00B915EB"/>
    <w:rsid w:val="00B916A1"/>
    <w:rsid w:val="00B91DE2"/>
    <w:rsid w:val="00B9207F"/>
    <w:rsid w:val="00B920AA"/>
    <w:rsid w:val="00B921BF"/>
    <w:rsid w:val="00B9248C"/>
    <w:rsid w:val="00B92507"/>
    <w:rsid w:val="00B92A87"/>
    <w:rsid w:val="00B92BB5"/>
    <w:rsid w:val="00B92EFF"/>
    <w:rsid w:val="00B93915"/>
    <w:rsid w:val="00B93DDD"/>
    <w:rsid w:val="00B93FB9"/>
    <w:rsid w:val="00B941CA"/>
    <w:rsid w:val="00B945C5"/>
    <w:rsid w:val="00B94890"/>
    <w:rsid w:val="00B94AC0"/>
    <w:rsid w:val="00B95912"/>
    <w:rsid w:val="00B95B73"/>
    <w:rsid w:val="00B95BBF"/>
    <w:rsid w:val="00B960F2"/>
    <w:rsid w:val="00B96C1E"/>
    <w:rsid w:val="00B96DFC"/>
    <w:rsid w:val="00B96EFD"/>
    <w:rsid w:val="00B97104"/>
    <w:rsid w:val="00B972C2"/>
    <w:rsid w:val="00B97BB9"/>
    <w:rsid w:val="00B97EFB"/>
    <w:rsid w:val="00B97EFF"/>
    <w:rsid w:val="00BA03BB"/>
    <w:rsid w:val="00BA05B2"/>
    <w:rsid w:val="00BA064D"/>
    <w:rsid w:val="00BA0C16"/>
    <w:rsid w:val="00BA0E19"/>
    <w:rsid w:val="00BA0E24"/>
    <w:rsid w:val="00BA1128"/>
    <w:rsid w:val="00BA11D9"/>
    <w:rsid w:val="00BA1380"/>
    <w:rsid w:val="00BA1744"/>
    <w:rsid w:val="00BA1F16"/>
    <w:rsid w:val="00BA222F"/>
    <w:rsid w:val="00BA2764"/>
    <w:rsid w:val="00BA2786"/>
    <w:rsid w:val="00BA2A43"/>
    <w:rsid w:val="00BA32D8"/>
    <w:rsid w:val="00BA3363"/>
    <w:rsid w:val="00BA34CC"/>
    <w:rsid w:val="00BA3839"/>
    <w:rsid w:val="00BA3E55"/>
    <w:rsid w:val="00BA4391"/>
    <w:rsid w:val="00BA43F3"/>
    <w:rsid w:val="00BA46B1"/>
    <w:rsid w:val="00BA47C2"/>
    <w:rsid w:val="00BA497E"/>
    <w:rsid w:val="00BA4AAE"/>
    <w:rsid w:val="00BA4BE7"/>
    <w:rsid w:val="00BA4E40"/>
    <w:rsid w:val="00BA5040"/>
    <w:rsid w:val="00BA55B2"/>
    <w:rsid w:val="00BA573C"/>
    <w:rsid w:val="00BA5E43"/>
    <w:rsid w:val="00BA61EB"/>
    <w:rsid w:val="00BA63DC"/>
    <w:rsid w:val="00BA67F7"/>
    <w:rsid w:val="00BA6D49"/>
    <w:rsid w:val="00BA723D"/>
    <w:rsid w:val="00BA7317"/>
    <w:rsid w:val="00BA7390"/>
    <w:rsid w:val="00BA74D8"/>
    <w:rsid w:val="00BA74E7"/>
    <w:rsid w:val="00BA7AC5"/>
    <w:rsid w:val="00BA7B02"/>
    <w:rsid w:val="00BA7CBA"/>
    <w:rsid w:val="00BB0263"/>
    <w:rsid w:val="00BB05A5"/>
    <w:rsid w:val="00BB0770"/>
    <w:rsid w:val="00BB07A1"/>
    <w:rsid w:val="00BB07BC"/>
    <w:rsid w:val="00BB08B9"/>
    <w:rsid w:val="00BB0A7E"/>
    <w:rsid w:val="00BB0BA3"/>
    <w:rsid w:val="00BB0E76"/>
    <w:rsid w:val="00BB10DD"/>
    <w:rsid w:val="00BB12C2"/>
    <w:rsid w:val="00BB1BBB"/>
    <w:rsid w:val="00BB1D81"/>
    <w:rsid w:val="00BB1F72"/>
    <w:rsid w:val="00BB2230"/>
    <w:rsid w:val="00BB26B5"/>
    <w:rsid w:val="00BB2810"/>
    <w:rsid w:val="00BB2B5B"/>
    <w:rsid w:val="00BB2E00"/>
    <w:rsid w:val="00BB3009"/>
    <w:rsid w:val="00BB333B"/>
    <w:rsid w:val="00BB352E"/>
    <w:rsid w:val="00BB35BF"/>
    <w:rsid w:val="00BB37B6"/>
    <w:rsid w:val="00BB37B9"/>
    <w:rsid w:val="00BB37F1"/>
    <w:rsid w:val="00BB3BD0"/>
    <w:rsid w:val="00BB3CE7"/>
    <w:rsid w:val="00BB4409"/>
    <w:rsid w:val="00BB483E"/>
    <w:rsid w:val="00BB4876"/>
    <w:rsid w:val="00BB4BDB"/>
    <w:rsid w:val="00BB5223"/>
    <w:rsid w:val="00BB53A9"/>
    <w:rsid w:val="00BB573B"/>
    <w:rsid w:val="00BB5C6E"/>
    <w:rsid w:val="00BB5E9D"/>
    <w:rsid w:val="00BB6143"/>
    <w:rsid w:val="00BB62E2"/>
    <w:rsid w:val="00BB67D7"/>
    <w:rsid w:val="00BB6B21"/>
    <w:rsid w:val="00BB6C67"/>
    <w:rsid w:val="00BB6DD7"/>
    <w:rsid w:val="00BB7047"/>
    <w:rsid w:val="00BB715D"/>
    <w:rsid w:val="00BB7260"/>
    <w:rsid w:val="00BB73F3"/>
    <w:rsid w:val="00BB74C6"/>
    <w:rsid w:val="00BB78FF"/>
    <w:rsid w:val="00BB7A09"/>
    <w:rsid w:val="00BB7C65"/>
    <w:rsid w:val="00BB7E20"/>
    <w:rsid w:val="00BB7E56"/>
    <w:rsid w:val="00BB7F0C"/>
    <w:rsid w:val="00BC031C"/>
    <w:rsid w:val="00BC05A4"/>
    <w:rsid w:val="00BC0662"/>
    <w:rsid w:val="00BC0793"/>
    <w:rsid w:val="00BC0C91"/>
    <w:rsid w:val="00BC0E38"/>
    <w:rsid w:val="00BC1533"/>
    <w:rsid w:val="00BC169F"/>
    <w:rsid w:val="00BC192F"/>
    <w:rsid w:val="00BC1996"/>
    <w:rsid w:val="00BC19D3"/>
    <w:rsid w:val="00BC1A70"/>
    <w:rsid w:val="00BC1C0F"/>
    <w:rsid w:val="00BC1C35"/>
    <w:rsid w:val="00BC1C9A"/>
    <w:rsid w:val="00BC1CC1"/>
    <w:rsid w:val="00BC204B"/>
    <w:rsid w:val="00BC20C5"/>
    <w:rsid w:val="00BC2332"/>
    <w:rsid w:val="00BC304B"/>
    <w:rsid w:val="00BC3274"/>
    <w:rsid w:val="00BC3397"/>
    <w:rsid w:val="00BC33BC"/>
    <w:rsid w:val="00BC36F3"/>
    <w:rsid w:val="00BC3956"/>
    <w:rsid w:val="00BC3A9F"/>
    <w:rsid w:val="00BC3AEB"/>
    <w:rsid w:val="00BC3B05"/>
    <w:rsid w:val="00BC42F6"/>
    <w:rsid w:val="00BC4409"/>
    <w:rsid w:val="00BC44DC"/>
    <w:rsid w:val="00BC4D4B"/>
    <w:rsid w:val="00BC4DF7"/>
    <w:rsid w:val="00BC53FA"/>
    <w:rsid w:val="00BC5529"/>
    <w:rsid w:val="00BC5741"/>
    <w:rsid w:val="00BC5952"/>
    <w:rsid w:val="00BC5A5D"/>
    <w:rsid w:val="00BC5C4E"/>
    <w:rsid w:val="00BC5D67"/>
    <w:rsid w:val="00BC5FA8"/>
    <w:rsid w:val="00BC632A"/>
    <w:rsid w:val="00BC662C"/>
    <w:rsid w:val="00BC6AFB"/>
    <w:rsid w:val="00BC6E44"/>
    <w:rsid w:val="00BC7443"/>
    <w:rsid w:val="00BC7453"/>
    <w:rsid w:val="00BC78F3"/>
    <w:rsid w:val="00BC7BD5"/>
    <w:rsid w:val="00BD016C"/>
    <w:rsid w:val="00BD046D"/>
    <w:rsid w:val="00BD04F4"/>
    <w:rsid w:val="00BD0725"/>
    <w:rsid w:val="00BD095B"/>
    <w:rsid w:val="00BD0B15"/>
    <w:rsid w:val="00BD0BB2"/>
    <w:rsid w:val="00BD0DE4"/>
    <w:rsid w:val="00BD1123"/>
    <w:rsid w:val="00BD1333"/>
    <w:rsid w:val="00BD1435"/>
    <w:rsid w:val="00BD179F"/>
    <w:rsid w:val="00BD1A99"/>
    <w:rsid w:val="00BD1C63"/>
    <w:rsid w:val="00BD2034"/>
    <w:rsid w:val="00BD222C"/>
    <w:rsid w:val="00BD25E3"/>
    <w:rsid w:val="00BD34C7"/>
    <w:rsid w:val="00BD391E"/>
    <w:rsid w:val="00BD3A96"/>
    <w:rsid w:val="00BD3C45"/>
    <w:rsid w:val="00BD3DAF"/>
    <w:rsid w:val="00BD3EB2"/>
    <w:rsid w:val="00BD41D7"/>
    <w:rsid w:val="00BD4728"/>
    <w:rsid w:val="00BD4BEF"/>
    <w:rsid w:val="00BD50E9"/>
    <w:rsid w:val="00BD518C"/>
    <w:rsid w:val="00BD545B"/>
    <w:rsid w:val="00BD549D"/>
    <w:rsid w:val="00BD59BB"/>
    <w:rsid w:val="00BD5A52"/>
    <w:rsid w:val="00BD5C85"/>
    <w:rsid w:val="00BD5F63"/>
    <w:rsid w:val="00BD687D"/>
    <w:rsid w:val="00BD6A4F"/>
    <w:rsid w:val="00BD6A73"/>
    <w:rsid w:val="00BD6EFE"/>
    <w:rsid w:val="00BD75C3"/>
    <w:rsid w:val="00BD76A7"/>
    <w:rsid w:val="00BD7EC2"/>
    <w:rsid w:val="00BE0253"/>
    <w:rsid w:val="00BE031A"/>
    <w:rsid w:val="00BE0570"/>
    <w:rsid w:val="00BE0576"/>
    <w:rsid w:val="00BE06D0"/>
    <w:rsid w:val="00BE0921"/>
    <w:rsid w:val="00BE09B7"/>
    <w:rsid w:val="00BE0E09"/>
    <w:rsid w:val="00BE0E40"/>
    <w:rsid w:val="00BE0E68"/>
    <w:rsid w:val="00BE0E8C"/>
    <w:rsid w:val="00BE105D"/>
    <w:rsid w:val="00BE1103"/>
    <w:rsid w:val="00BE1221"/>
    <w:rsid w:val="00BE12B6"/>
    <w:rsid w:val="00BE1493"/>
    <w:rsid w:val="00BE167D"/>
    <w:rsid w:val="00BE1680"/>
    <w:rsid w:val="00BE1BC8"/>
    <w:rsid w:val="00BE2508"/>
    <w:rsid w:val="00BE25A1"/>
    <w:rsid w:val="00BE283F"/>
    <w:rsid w:val="00BE2A8C"/>
    <w:rsid w:val="00BE2B57"/>
    <w:rsid w:val="00BE2BDB"/>
    <w:rsid w:val="00BE2C6D"/>
    <w:rsid w:val="00BE2C86"/>
    <w:rsid w:val="00BE2D5A"/>
    <w:rsid w:val="00BE3032"/>
    <w:rsid w:val="00BE32ED"/>
    <w:rsid w:val="00BE35E3"/>
    <w:rsid w:val="00BE3EBD"/>
    <w:rsid w:val="00BE3F25"/>
    <w:rsid w:val="00BE462E"/>
    <w:rsid w:val="00BE48A9"/>
    <w:rsid w:val="00BE4E43"/>
    <w:rsid w:val="00BE4EC5"/>
    <w:rsid w:val="00BE5301"/>
    <w:rsid w:val="00BE5E13"/>
    <w:rsid w:val="00BE63A6"/>
    <w:rsid w:val="00BE67B8"/>
    <w:rsid w:val="00BE6A2D"/>
    <w:rsid w:val="00BE6F78"/>
    <w:rsid w:val="00BE72A5"/>
    <w:rsid w:val="00BE74F7"/>
    <w:rsid w:val="00BE7939"/>
    <w:rsid w:val="00BE7AAA"/>
    <w:rsid w:val="00BE7FD2"/>
    <w:rsid w:val="00BE7FD7"/>
    <w:rsid w:val="00BF00AD"/>
    <w:rsid w:val="00BF035B"/>
    <w:rsid w:val="00BF073A"/>
    <w:rsid w:val="00BF0847"/>
    <w:rsid w:val="00BF08D5"/>
    <w:rsid w:val="00BF0A84"/>
    <w:rsid w:val="00BF0CC0"/>
    <w:rsid w:val="00BF0D46"/>
    <w:rsid w:val="00BF0D7E"/>
    <w:rsid w:val="00BF0DCA"/>
    <w:rsid w:val="00BF0E47"/>
    <w:rsid w:val="00BF0F59"/>
    <w:rsid w:val="00BF1320"/>
    <w:rsid w:val="00BF1785"/>
    <w:rsid w:val="00BF1B0C"/>
    <w:rsid w:val="00BF1BDA"/>
    <w:rsid w:val="00BF1FC9"/>
    <w:rsid w:val="00BF20B1"/>
    <w:rsid w:val="00BF211D"/>
    <w:rsid w:val="00BF2401"/>
    <w:rsid w:val="00BF24EF"/>
    <w:rsid w:val="00BF25F4"/>
    <w:rsid w:val="00BF26DE"/>
    <w:rsid w:val="00BF28B1"/>
    <w:rsid w:val="00BF3097"/>
    <w:rsid w:val="00BF3233"/>
    <w:rsid w:val="00BF3A60"/>
    <w:rsid w:val="00BF3BB0"/>
    <w:rsid w:val="00BF3E15"/>
    <w:rsid w:val="00BF3EEF"/>
    <w:rsid w:val="00BF4015"/>
    <w:rsid w:val="00BF41D8"/>
    <w:rsid w:val="00BF42D1"/>
    <w:rsid w:val="00BF4858"/>
    <w:rsid w:val="00BF4BC1"/>
    <w:rsid w:val="00BF567E"/>
    <w:rsid w:val="00BF5B32"/>
    <w:rsid w:val="00BF5BA0"/>
    <w:rsid w:val="00BF5C23"/>
    <w:rsid w:val="00BF5DFC"/>
    <w:rsid w:val="00BF6480"/>
    <w:rsid w:val="00BF65BC"/>
    <w:rsid w:val="00BF6728"/>
    <w:rsid w:val="00BF6A2D"/>
    <w:rsid w:val="00BF6BFF"/>
    <w:rsid w:val="00BF6EE7"/>
    <w:rsid w:val="00BF771B"/>
    <w:rsid w:val="00BF7D86"/>
    <w:rsid w:val="00C00987"/>
    <w:rsid w:val="00C00C43"/>
    <w:rsid w:val="00C00E87"/>
    <w:rsid w:val="00C013C8"/>
    <w:rsid w:val="00C01AC9"/>
    <w:rsid w:val="00C01C99"/>
    <w:rsid w:val="00C01D35"/>
    <w:rsid w:val="00C0201F"/>
    <w:rsid w:val="00C027A1"/>
    <w:rsid w:val="00C02AA3"/>
    <w:rsid w:val="00C02D1D"/>
    <w:rsid w:val="00C02D23"/>
    <w:rsid w:val="00C0302E"/>
    <w:rsid w:val="00C03AD8"/>
    <w:rsid w:val="00C03AE6"/>
    <w:rsid w:val="00C04110"/>
    <w:rsid w:val="00C04A9A"/>
    <w:rsid w:val="00C04B27"/>
    <w:rsid w:val="00C0544B"/>
    <w:rsid w:val="00C059EE"/>
    <w:rsid w:val="00C05C34"/>
    <w:rsid w:val="00C05C37"/>
    <w:rsid w:val="00C05D42"/>
    <w:rsid w:val="00C05F6E"/>
    <w:rsid w:val="00C06678"/>
    <w:rsid w:val="00C066CA"/>
    <w:rsid w:val="00C06C9C"/>
    <w:rsid w:val="00C06E34"/>
    <w:rsid w:val="00C06F5C"/>
    <w:rsid w:val="00C06FEC"/>
    <w:rsid w:val="00C07063"/>
    <w:rsid w:val="00C070D0"/>
    <w:rsid w:val="00C07892"/>
    <w:rsid w:val="00C07A56"/>
    <w:rsid w:val="00C07ABF"/>
    <w:rsid w:val="00C07B1A"/>
    <w:rsid w:val="00C07BAC"/>
    <w:rsid w:val="00C07DC7"/>
    <w:rsid w:val="00C10048"/>
    <w:rsid w:val="00C10138"/>
    <w:rsid w:val="00C10554"/>
    <w:rsid w:val="00C10C2F"/>
    <w:rsid w:val="00C10D19"/>
    <w:rsid w:val="00C10EFF"/>
    <w:rsid w:val="00C11756"/>
    <w:rsid w:val="00C11A3C"/>
    <w:rsid w:val="00C11E37"/>
    <w:rsid w:val="00C11F14"/>
    <w:rsid w:val="00C12677"/>
    <w:rsid w:val="00C12C3D"/>
    <w:rsid w:val="00C12F16"/>
    <w:rsid w:val="00C12FF5"/>
    <w:rsid w:val="00C132B2"/>
    <w:rsid w:val="00C133CE"/>
    <w:rsid w:val="00C136BB"/>
    <w:rsid w:val="00C13820"/>
    <w:rsid w:val="00C13AF2"/>
    <w:rsid w:val="00C13B31"/>
    <w:rsid w:val="00C13BCE"/>
    <w:rsid w:val="00C13D03"/>
    <w:rsid w:val="00C13F35"/>
    <w:rsid w:val="00C148F9"/>
    <w:rsid w:val="00C14A67"/>
    <w:rsid w:val="00C14C2D"/>
    <w:rsid w:val="00C1508F"/>
    <w:rsid w:val="00C15157"/>
    <w:rsid w:val="00C15344"/>
    <w:rsid w:val="00C1537E"/>
    <w:rsid w:val="00C15380"/>
    <w:rsid w:val="00C15724"/>
    <w:rsid w:val="00C15A44"/>
    <w:rsid w:val="00C15C42"/>
    <w:rsid w:val="00C15E7D"/>
    <w:rsid w:val="00C15E8D"/>
    <w:rsid w:val="00C16113"/>
    <w:rsid w:val="00C16365"/>
    <w:rsid w:val="00C165C5"/>
    <w:rsid w:val="00C16A13"/>
    <w:rsid w:val="00C16A43"/>
    <w:rsid w:val="00C16E4F"/>
    <w:rsid w:val="00C171FB"/>
    <w:rsid w:val="00C17829"/>
    <w:rsid w:val="00C17ACE"/>
    <w:rsid w:val="00C17AE5"/>
    <w:rsid w:val="00C17B19"/>
    <w:rsid w:val="00C202ED"/>
    <w:rsid w:val="00C20338"/>
    <w:rsid w:val="00C20404"/>
    <w:rsid w:val="00C20510"/>
    <w:rsid w:val="00C207D5"/>
    <w:rsid w:val="00C20954"/>
    <w:rsid w:val="00C20AE9"/>
    <w:rsid w:val="00C20D63"/>
    <w:rsid w:val="00C20F12"/>
    <w:rsid w:val="00C21084"/>
    <w:rsid w:val="00C216D7"/>
    <w:rsid w:val="00C2177F"/>
    <w:rsid w:val="00C21F5F"/>
    <w:rsid w:val="00C22403"/>
    <w:rsid w:val="00C22902"/>
    <w:rsid w:val="00C22DB8"/>
    <w:rsid w:val="00C22FC4"/>
    <w:rsid w:val="00C22FE5"/>
    <w:rsid w:val="00C23474"/>
    <w:rsid w:val="00C235E3"/>
    <w:rsid w:val="00C239D9"/>
    <w:rsid w:val="00C23A90"/>
    <w:rsid w:val="00C23BAB"/>
    <w:rsid w:val="00C24C08"/>
    <w:rsid w:val="00C24EC9"/>
    <w:rsid w:val="00C24F95"/>
    <w:rsid w:val="00C24FFB"/>
    <w:rsid w:val="00C252CB"/>
    <w:rsid w:val="00C25318"/>
    <w:rsid w:val="00C2535B"/>
    <w:rsid w:val="00C2551C"/>
    <w:rsid w:val="00C2571A"/>
    <w:rsid w:val="00C2571E"/>
    <w:rsid w:val="00C257AB"/>
    <w:rsid w:val="00C25952"/>
    <w:rsid w:val="00C261E3"/>
    <w:rsid w:val="00C265F4"/>
    <w:rsid w:val="00C267DD"/>
    <w:rsid w:val="00C27050"/>
    <w:rsid w:val="00C27447"/>
    <w:rsid w:val="00C27527"/>
    <w:rsid w:val="00C27690"/>
    <w:rsid w:val="00C27A32"/>
    <w:rsid w:val="00C27D47"/>
    <w:rsid w:val="00C27EAF"/>
    <w:rsid w:val="00C30091"/>
    <w:rsid w:val="00C30567"/>
    <w:rsid w:val="00C30717"/>
    <w:rsid w:val="00C310C6"/>
    <w:rsid w:val="00C313CE"/>
    <w:rsid w:val="00C31B8B"/>
    <w:rsid w:val="00C3207C"/>
    <w:rsid w:val="00C32135"/>
    <w:rsid w:val="00C32225"/>
    <w:rsid w:val="00C32AFB"/>
    <w:rsid w:val="00C32B1E"/>
    <w:rsid w:val="00C32D2F"/>
    <w:rsid w:val="00C32FB7"/>
    <w:rsid w:val="00C33218"/>
    <w:rsid w:val="00C33257"/>
    <w:rsid w:val="00C33271"/>
    <w:rsid w:val="00C33445"/>
    <w:rsid w:val="00C33491"/>
    <w:rsid w:val="00C33AF9"/>
    <w:rsid w:val="00C33CF2"/>
    <w:rsid w:val="00C33D66"/>
    <w:rsid w:val="00C33FF0"/>
    <w:rsid w:val="00C3402C"/>
    <w:rsid w:val="00C340E3"/>
    <w:rsid w:val="00C343C3"/>
    <w:rsid w:val="00C348F2"/>
    <w:rsid w:val="00C349DD"/>
    <w:rsid w:val="00C34DF1"/>
    <w:rsid w:val="00C35150"/>
    <w:rsid w:val="00C356E0"/>
    <w:rsid w:val="00C36AC7"/>
    <w:rsid w:val="00C36F7A"/>
    <w:rsid w:val="00C37274"/>
    <w:rsid w:val="00C3742F"/>
    <w:rsid w:val="00C3754F"/>
    <w:rsid w:val="00C37B12"/>
    <w:rsid w:val="00C37F95"/>
    <w:rsid w:val="00C404E3"/>
    <w:rsid w:val="00C40B95"/>
    <w:rsid w:val="00C40BB8"/>
    <w:rsid w:val="00C40D56"/>
    <w:rsid w:val="00C40EC4"/>
    <w:rsid w:val="00C41105"/>
    <w:rsid w:val="00C41259"/>
    <w:rsid w:val="00C4167D"/>
    <w:rsid w:val="00C416E8"/>
    <w:rsid w:val="00C41844"/>
    <w:rsid w:val="00C41B29"/>
    <w:rsid w:val="00C420DA"/>
    <w:rsid w:val="00C42462"/>
    <w:rsid w:val="00C42492"/>
    <w:rsid w:val="00C428F1"/>
    <w:rsid w:val="00C42CF0"/>
    <w:rsid w:val="00C4372E"/>
    <w:rsid w:val="00C4389B"/>
    <w:rsid w:val="00C4398F"/>
    <w:rsid w:val="00C44093"/>
    <w:rsid w:val="00C440B2"/>
    <w:rsid w:val="00C441C8"/>
    <w:rsid w:val="00C44596"/>
    <w:rsid w:val="00C44DEB"/>
    <w:rsid w:val="00C45706"/>
    <w:rsid w:val="00C45925"/>
    <w:rsid w:val="00C45C86"/>
    <w:rsid w:val="00C45EA8"/>
    <w:rsid w:val="00C4614D"/>
    <w:rsid w:val="00C462D8"/>
    <w:rsid w:val="00C46420"/>
    <w:rsid w:val="00C4654A"/>
    <w:rsid w:val="00C465C0"/>
    <w:rsid w:val="00C467C5"/>
    <w:rsid w:val="00C46C06"/>
    <w:rsid w:val="00C47119"/>
    <w:rsid w:val="00C472E5"/>
    <w:rsid w:val="00C47C6E"/>
    <w:rsid w:val="00C47D0F"/>
    <w:rsid w:val="00C47F13"/>
    <w:rsid w:val="00C503CB"/>
    <w:rsid w:val="00C5050B"/>
    <w:rsid w:val="00C507C7"/>
    <w:rsid w:val="00C50C5D"/>
    <w:rsid w:val="00C50D42"/>
    <w:rsid w:val="00C50F3A"/>
    <w:rsid w:val="00C510E5"/>
    <w:rsid w:val="00C51221"/>
    <w:rsid w:val="00C51416"/>
    <w:rsid w:val="00C51507"/>
    <w:rsid w:val="00C51776"/>
    <w:rsid w:val="00C519F0"/>
    <w:rsid w:val="00C51FF0"/>
    <w:rsid w:val="00C5207B"/>
    <w:rsid w:val="00C521FF"/>
    <w:rsid w:val="00C523D6"/>
    <w:rsid w:val="00C527D9"/>
    <w:rsid w:val="00C528D5"/>
    <w:rsid w:val="00C52B87"/>
    <w:rsid w:val="00C532F1"/>
    <w:rsid w:val="00C53D43"/>
    <w:rsid w:val="00C53DC8"/>
    <w:rsid w:val="00C54231"/>
    <w:rsid w:val="00C548FF"/>
    <w:rsid w:val="00C5490E"/>
    <w:rsid w:val="00C54A1E"/>
    <w:rsid w:val="00C54B46"/>
    <w:rsid w:val="00C54DB0"/>
    <w:rsid w:val="00C54E20"/>
    <w:rsid w:val="00C54FC3"/>
    <w:rsid w:val="00C554C5"/>
    <w:rsid w:val="00C555CC"/>
    <w:rsid w:val="00C5578E"/>
    <w:rsid w:val="00C55966"/>
    <w:rsid w:val="00C55FCD"/>
    <w:rsid w:val="00C56411"/>
    <w:rsid w:val="00C564C2"/>
    <w:rsid w:val="00C5673E"/>
    <w:rsid w:val="00C5674B"/>
    <w:rsid w:val="00C568E5"/>
    <w:rsid w:val="00C5696C"/>
    <w:rsid w:val="00C570BA"/>
    <w:rsid w:val="00C571DA"/>
    <w:rsid w:val="00C57428"/>
    <w:rsid w:val="00C578A3"/>
    <w:rsid w:val="00C57C45"/>
    <w:rsid w:val="00C57E15"/>
    <w:rsid w:val="00C6080E"/>
    <w:rsid w:val="00C60CCF"/>
    <w:rsid w:val="00C60E20"/>
    <w:rsid w:val="00C61434"/>
    <w:rsid w:val="00C615F2"/>
    <w:rsid w:val="00C6168D"/>
    <w:rsid w:val="00C617EC"/>
    <w:rsid w:val="00C61878"/>
    <w:rsid w:val="00C619FC"/>
    <w:rsid w:val="00C61C7A"/>
    <w:rsid w:val="00C61CDB"/>
    <w:rsid w:val="00C61FFB"/>
    <w:rsid w:val="00C62558"/>
    <w:rsid w:val="00C6258F"/>
    <w:rsid w:val="00C62734"/>
    <w:rsid w:val="00C627F5"/>
    <w:rsid w:val="00C62EAF"/>
    <w:rsid w:val="00C6324C"/>
    <w:rsid w:val="00C632C0"/>
    <w:rsid w:val="00C633D0"/>
    <w:rsid w:val="00C633DD"/>
    <w:rsid w:val="00C6340B"/>
    <w:rsid w:val="00C63492"/>
    <w:rsid w:val="00C63773"/>
    <w:rsid w:val="00C63A8E"/>
    <w:rsid w:val="00C63F7D"/>
    <w:rsid w:val="00C648D9"/>
    <w:rsid w:val="00C65568"/>
    <w:rsid w:val="00C65761"/>
    <w:rsid w:val="00C65802"/>
    <w:rsid w:val="00C65A68"/>
    <w:rsid w:val="00C66178"/>
    <w:rsid w:val="00C66833"/>
    <w:rsid w:val="00C66E53"/>
    <w:rsid w:val="00C66E76"/>
    <w:rsid w:val="00C66EEE"/>
    <w:rsid w:val="00C6718F"/>
    <w:rsid w:val="00C672BE"/>
    <w:rsid w:val="00C67431"/>
    <w:rsid w:val="00C677BC"/>
    <w:rsid w:val="00C6781B"/>
    <w:rsid w:val="00C67852"/>
    <w:rsid w:val="00C67F52"/>
    <w:rsid w:val="00C70036"/>
    <w:rsid w:val="00C7006A"/>
    <w:rsid w:val="00C70329"/>
    <w:rsid w:val="00C703DC"/>
    <w:rsid w:val="00C70576"/>
    <w:rsid w:val="00C70818"/>
    <w:rsid w:val="00C70AED"/>
    <w:rsid w:val="00C70B50"/>
    <w:rsid w:val="00C7173B"/>
    <w:rsid w:val="00C71E92"/>
    <w:rsid w:val="00C721BB"/>
    <w:rsid w:val="00C722AC"/>
    <w:rsid w:val="00C722D4"/>
    <w:rsid w:val="00C727D1"/>
    <w:rsid w:val="00C7321C"/>
    <w:rsid w:val="00C732AB"/>
    <w:rsid w:val="00C735B3"/>
    <w:rsid w:val="00C7360F"/>
    <w:rsid w:val="00C73B1E"/>
    <w:rsid w:val="00C74608"/>
    <w:rsid w:val="00C7472F"/>
    <w:rsid w:val="00C74806"/>
    <w:rsid w:val="00C749CA"/>
    <w:rsid w:val="00C74AE4"/>
    <w:rsid w:val="00C7531C"/>
    <w:rsid w:val="00C754DE"/>
    <w:rsid w:val="00C7569F"/>
    <w:rsid w:val="00C75F6F"/>
    <w:rsid w:val="00C760FD"/>
    <w:rsid w:val="00C76226"/>
    <w:rsid w:val="00C76334"/>
    <w:rsid w:val="00C763F0"/>
    <w:rsid w:val="00C76454"/>
    <w:rsid w:val="00C7661B"/>
    <w:rsid w:val="00C76744"/>
    <w:rsid w:val="00C76860"/>
    <w:rsid w:val="00C7686C"/>
    <w:rsid w:val="00C76ACB"/>
    <w:rsid w:val="00C76CF8"/>
    <w:rsid w:val="00C7745D"/>
    <w:rsid w:val="00C77549"/>
    <w:rsid w:val="00C77C77"/>
    <w:rsid w:val="00C80282"/>
    <w:rsid w:val="00C8057C"/>
    <w:rsid w:val="00C80D74"/>
    <w:rsid w:val="00C80FBB"/>
    <w:rsid w:val="00C81419"/>
    <w:rsid w:val="00C81ACE"/>
    <w:rsid w:val="00C81C27"/>
    <w:rsid w:val="00C82143"/>
    <w:rsid w:val="00C823E9"/>
    <w:rsid w:val="00C82579"/>
    <w:rsid w:val="00C82AE8"/>
    <w:rsid w:val="00C82FE5"/>
    <w:rsid w:val="00C8300A"/>
    <w:rsid w:val="00C83284"/>
    <w:rsid w:val="00C832D4"/>
    <w:rsid w:val="00C8390E"/>
    <w:rsid w:val="00C83FF0"/>
    <w:rsid w:val="00C841C9"/>
    <w:rsid w:val="00C845A2"/>
    <w:rsid w:val="00C84BAD"/>
    <w:rsid w:val="00C84C1E"/>
    <w:rsid w:val="00C84D78"/>
    <w:rsid w:val="00C85211"/>
    <w:rsid w:val="00C856E5"/>
    <w:rsid w:val="00C85A50"/>
    <w:rsid w:val="00C85BF5"/>
    <w:rsid w:val="00C85C27"/>
    <w:rsid w:val="00C85DC0"/>
    <w:rsid w:val="00C85F0D"/>
    <w:rsid w:val="00C85F30"/>
    <w:rsid w:val="00C86114"/>
    <w:rsid w:val="00C86732"/>
    <w:rsid w:val="00C87147"/>
    <w:rsid w:val="00C874F5"/>
    <w:rsid w:val="00C87733"/>
    <w:rsid w:val="00C9005B"/>
    <w:rsid w:val="00C90358"/>
    <w:rsid w:val="00C905CE"/>
    <w:rsid w:val="00C90A15"/>
    <w:rsid w:val="00C90DB4"/>
    <w:rsid w:val="00C915FE"/>
    <w:rsid w:val="00C91D6B"/>
    <w:rsid w:val="00C91D89"/>
    <w:rsid w:val="00C92052"/>
    <w:rsid w:val="00C92114"/>
    <w:rsid w:val="00C92BF2"/>
    <w:rsid w:val="00C931EA"/>
    <w:rsid w:val="00C935FE"/>
    <w:rsid w:val="00C93987"/>
    <w:rsid w:val="00C93B9D"/>
    <w:rsid w:val="00C93F31"/>
    <w:rsid w:val="00C93F56"/>
    <w:rsid w:val="00C941B5"/>
    <w:rsid w:val="00C94418"/>
    <w:rsid w:val="00C9446C"/>
    <w:rsid w:val="00C95501"/>
    <w:rsid w:val="00C964A9"/>
    <w:rsid w:val="00C96789"/>
    <w:rsid w:val="00C96A68"/>
    <w:rsid w:val="00C96B9D"/>
    <w:rsid w:val="00C96C90"/>
    <w:rsid w:val="00C96CF0"/>
    <w:rsid w:val="00C972CE"/>
    <w:rsid w:val="00C975B9"/>
    <w:rsid w:val="00C97CBA"/>
    <w:rsid w:val="00C97CD3"/>
    <w:rsid w:val="00C97E5D"/>
    <w:rsid w:val="00C97EC9"/>
    <w:rsid w:val="00CA03CA"/>
    <w:rsid w:val="00CA079B"/>
    <w:rsid w:val="00CA085A"/>
    <w:rsid w:val="00CA0BCE"/>
    <w:rsid w:val="00CA1007"/>
    <w:rsid w:val="00CA163B"/>
    <w:rsid w:val="00CA1863"/>
    <w:rsid w:val="00CA1CBB"/>
    <w:rsid w:val="00CA1E7C"/>
    <w:rsid w:val="00CA228A"/>
    <w:rsid w:val="00CA26A6"/>
    <w:rsid w:val="00CA284A"/>
    <w:rsid w:val="00CA2A1D"/>
    <w:rsid w:val="00CA2BF8"/>
    <w:rsid w:val="00CA2CEB"/>
    <w:rsid w:val="00CA3B85"/>
    <w:rsid w:val="00CA3BF3"/>
    <w:rsid w:val="00CA3CBA"/>
    <w:rsid w:val="00CA4022"/>
    <w:rsid w:val="00CA41AC"/>
    <w:rsid w:val="00CA457F"/>
    <w:rsid w:val="00CA4997"/>
    <w:rsid w:val="00CA4A34"/>
    <w:rsid w:val="00CA4A69"/>
    <w:rsid w:val="00CA4F9B"/>
    <w:rsid w:val="00CA51CF"/>
    <w:rsid w:val="00CA5783"/>
    <w:rsid w:val="00CA57C0"/>
    <w:rsid w:val="00CA59AF"/>
    <w:rsid w:val="00CA5BC6"/>
    <w:rsid w:val="00CA5D0B"/>
    <w:rsid w:val="00CA61AD"/>
    <w:rsid w:val="00CA640A"/>
    <w:rsid w:val="00CA640C"/>
    <w:rsid w:val="00CA67D6"/>
    <w:rsid w:val="00CA68CC"/>
    <w:rsid w:val="00CA6F88"/>
    <w:rsid w:val="00CA7097"/>
    <w:rsid w:val="00CA70EB"/>
    <w:rsid w:val="00CA73A8"/>
    <w:rsid w:val="00CA7422"/>
    <w:rsid w:val="00CA786D"/>
    <w:rsid w:val="00CA78A6"/>
    <w:rsid w:val="00CA79B3"/>
    <w:rsid w:val="00CA7C1A"/>
    <w:rsid w:val="00CA7CE9"/>
    <w:rsid w:val="00CB05E4"/>
    <w:rsid w:val="00CB07E6"/>
    <w:rsid w:val="00CB090F"/>
    <w:rsid w:val="00CB0AED"/>
    <w:rsid w:val="00CB116A"/>
    <w:rsid w:val="00CB13B3"/>
    <w:rsid w:val="00CB1674"/>
    <w:rsid w:val="00CB2484"/>
    <w:rsid w:val="00CB297D"/>
    <w:rsid w:val="00CB2B8D"/>
    <w:rsid w:val="00CB2C18"/>
    <w:rsid w:val="00CB2EFC"/>
    <w:rsid w:val="00CB2F02"/>
    <w:rsid w:val="00CB2FE5"/>
    <w:rsid w:val="00CB33F3"/>
    <w:rsid w:val="00CB34D7"/>
    <w:rsid w:val="00CB37A9"/>
    <w:rsid w:val="00CB3AB7"/>
    <w:rsid w:val="00CB3D95"/>
    <w:rsid w:val="00CB3DC3"/>
    <w:rsid w:val="00CB3F43"/>
    <w:rsid w:val="00CB3FA7"/>
    <w:rsid w:val="00CB41AC"/>
    <w:rsid w:val="00CB47A2"/>
    <w:rsid w:val="00CB4D31"/>
    <w:rsid w:val="00CB5042"/>
    <w:rsid w:val="00CB51B0"/>
    <w:rsid w:val="00CB5AF2"/>
    <w:rsid w:val="00CB6506"/>
    <w:rsid w:val="00CB6660"/>
    <w:rsid w:val="00CB6A2C"/>
    <w:rsid w:val="00CB6AAA"/>
    <w:rsid w:val="00CB6D52"/>
    <w:rsid w:val="00CB7064"/>
    <w:rsid w:val="00CB7151"/>
    <w:rsid w:val="00CB75C5"/>
    <w:rsid w:val="00CB76AA"/>
    <w:rsid w:val="00CB76B9"/>
    <w:rsid w:val="00CB77F1"/>
    <w:rsid w:val="00CB7963"/>
    <w:rsid w:val="00CB7C3F"/>
    <w:rsid w:val="00CB7E8A"/>
    <w:rsid w:val="00CC0212"/>
    <w:rsid w:val="00CC026C"/>
    <w:rsid w:val="00CC03F2"/>
    <w:rsid w:val="00CC0887"/>
    <w:rsid w:val="00CC0A85"/>
    <w:rsid w:val="00CC0B9C"/>
    <w:rsid w:val="00CC0C03"/>
    <w:rsid w:val="00CC0D70"/>
    <w:rsid w:val="00CC0E18"/>
    <w:rsid w:val="00CC0E8D"/>
    <w:rsid w:val="00CC15B6"/>
    <w:rsid w:val="00CC16ED"/>
    <w:rsid w:val="00CC2025"/>
    <w:rsid w:val="00CC231B"/>
    <w:rsid w:val="00CC23BD"/>
    <w:rsid w:val="00CC24C8"/>
    <w:rsid w:val="00CC252C"/>
    <w:rsid w:val="00CC2666"/>
    <w:rsid w:val="00CC2A2E"/>
    <w:rsid w:val="00CC301A"/>
    <w:rsid w:val="00CC30EA"/>
    <w:rsid w:val="00CC3336"/>
    <w:rsid w:val="00CC3342"/>
    <w:rsid w:val="00CC33B3"/>
    <w:rsid w:val="00CC34E7"/>
    <w:rsid w:val="00CC3958"/>
    <w:rsid w:val="00CC3A4F"/>
    <w:rsid w:val="00CC3AEC"/>
    <w:rsid w:val="00CC3B6B"/>
    <w:rsid w:val="00CC3F3F"/>
    <w:rsid w:val="00CC403F"/>
    <w:rsid w:val="00CC42A6"/>
    <w:rsid w:val="00CC4471"/>
    <w:rsid w:val="00CC47D4"/>
    <w:rsid w:val="00CC49EE"/>
    <w:rsid w:val="00CC4B33"/>
    <w:rsid w:val="00CC4D4B"/>
    <w:rsid w:val="00CC4E90"/>
    <w:rsid w:val="00CC51B6"/>
    <w:rsid w:val="00CC5289"/>
    <w:rsid w:val="00CC5755"/>
    <w:rsid w:val="00CC588E"/>
    <w:rsid w:val="00CC5CDE"/>
    <w:rsid w:val="00CC5EB3"/>
    <w:rsid w:val="00CC60C6"/>
    <w:rsid w:val="00CC6378"/>
    <w:rsid w:val="00CC6540"/>
    <w:rsid w:val="00CC6752"/>
    <w:rsid w:val="00CC69A1"/>
    <w:rsid w:val="00CC6A83"/>
    <w:rsid w:val="00CC6DA2"/>
    <w:rsid w:val="00CC74A9"/>
    <w:rsid w:val="00CC77B0"/>
    <w:rsid w:val="00CC7C97"/>
    <w:rsid w:val="00CC7D12"/>
    <w:rsid w:val="00CCC36F"/>
    <w:rsid w:val="00CD010A"/>
    <w:rsid w:val="00CD033E"/>
    <w:rsid w:val="00CD03BB"/>
    <w:rsid w:val="00CD0510"/>
    <w:rsid w:val="00CD1229"/>
    <w:rsid w:val="00CD128B"/>
    <w:rsid w:val="00CD1488"/>
    <w:rsid w:val="00CD14F9"/>
    <w:rsid w:val="00CD1819"/>
    <w:rsid w:val="00CD1921"/>
    <w:rsid w:val="00CD1988"/>
    <w:rsid w:val="00CD1BD5"/>
    <w:rsid w:val="00CD1FA3"/>
    <w:rsid w:val="00CD2244"/>
    <w:rsid w:val="00CD32E2"/>
    <w:rsid w:val="00CD3385"/>
    <w:rsid w:val="00CD35CF"/>
    <w:rsid w:val="00CD3C25"/>
    <w:rsid w:val="00CD3CC2"/>
    <w:rsid w:val="00CD3D6B"/>
    <w:rsid w:val="00CD3DA2"/>
    <w:rsid w:val="00CD3F7D"/>
    <w:rsid w:val="00CD413B"/>
    <w:rsid w:val="00CD4373"/>
    <w:rsid w:val="00CD46D1"/>
    <w:rsid w:val="00CD4874"/>
    <w:rsid w:val="00CD5199"/>
    <w:rsid w:val="00CD5430"/>
    <w:rsid w:val="00CD5504"/>
    <w:rsid w:val="00CD55B1"/>
    <w:rsid w:val="00CD56E8"/>
    <w:rsid w:val="00CD5A93"/>
    <w:rsid w:val="00CD5DC1"/>
    <w:rsid w:val="00CD5FAD"/>
    <w:rsid w:val="00CD62E5"/>
    <w:rsid w:val="00CD6576"/>
    <w:rsid w:val="00CD660D"/>
    <w:rsid w:val="00CD66DA"/>
    <w:rsid w:val="00CD6CC9"/>
    <w:rsid w:val="00CD72B3"/>
    <w:rsid w:val="00CD757A"/>
    <w:rsid w:val="00CD7791"/>
    <w:rsid w:val="00CD789A"/>
    <w:rsid w:val="00CD7EF7"/>
    <w:rsid w:val="00CE0291"/>
    <w:rsid w:val="00CE035B"/>
    <w:rsid w:val="00CE066B"/>
    <w:rsid w:val="00CE0B82"/>
    <w:rsid w:val="00CE0E58"/>
    <w:rsid w:val="00CE1855"/>
    <w:rsid w:val="00CE1A60"/>
    <w:rsid w:val="00CE1A82"/>
    <w:rsid w:val="00CE217D"/>
    <w:rsid w:val="00CE226B"/>
    <w:rsid w:val="00CE2351"/>
    <w:rsid w:val="00CE2541"/>
    <w:rsid w:val="00CE259A"/>
    <w:rsid w:val="00CE25A7"/>
    <w:rsid w:val="00CE29C1"/>
    <w:rsid w:val="00CE2CD2"/>
    <w:rsid w:val="00CE3203"/>
    <w:rsid w:val="00CE3832"/>
    <w:rsid w:val="00CE3B97"/>
    <w:rsid w:val="00CE4141"/>
    <w:rsid w:val="00CE4430"/>
    <w:rsid w:val="00CE46CA"/>
    <w:rsid w:val="00CE47B3"/>
    <w:rsid w:val="00CE4891"/>
    <w:rsid w:val="00CE490A"/>
    <w:rsid w:val="00CE492E"/>
    <w:rsid w:val="00CE49C0"/>
    <w:rsid w:val="00CE4C2F"/>
    <w:rsid w:val="00CE4EFB"/>
    <w:rsid w:val="00CE4FEA"/>
    <w:rsid w:val="00CE5019"/>
    <w:rsid w:val="00CE51B1"/>
    <w:rsid w:val="00CE52ED"/>
    <w:rsid w:val="00CE545C"/>
    <w:rsid w:val="00CE56B1"/>
    <w:rsid w:val="00CE5C2E"/>
    <w:rsid w:val="00CE5DAF"/>
    <w:rsid w:val="00CE6403"/>
    <w:rsid w:val="00CE68D0"/>
    <w:rsid w:val="00CE6B3B"/>
    <w:rsid w:val="00CE6BB1"/>
    <w:rsid w:val="00CE717D"/>
    <w:rsid w:val="00CE74A2"/>
    <w:rsid w:val="00CE7753"/>
    <w:rsid w:val="00CE7A55"/>
    <w:rsid w:val="00CE7BBA"/>
    <w:rsid w:val="00CE7CDD"/>
    <w:rsid w:val="00CF05F6"/>
    <w:rsid w:val="00CF0888"/>
    <w:rsid w:val="00CF09BD"/>
    <w:rsid w:val="00CF0AE2"/>
    <w:rsid w:val="00CF0D7D"/>
    <w:rsid w:val="00CF0FA8"/>
    <w:rsid w:val="00CF0FAB"/>
    <w:rsid w:val="00CF1761"/>
    <w:rsid w:val="00CF1809"/>
    <w:rsid w:val="00CF191B"/>
    <w:rsid w:val="00CF1E52"/>
    <w:rsid w:val="00CF23C3"/>
    <w:rsid w:val="00CF2AC4"/>
    <w:rsid w:val="00CF2B55"/>
    <w:rsid w:val="00CF2B6F"/>
    <w:rsid w:val="00CF2ECD"/>
    <w:rsid w:val="00CF31D4"/>
    <w:rsid w:val="00CF3672"/>
    <w:rsid w:val="00CF3903"/>
    <w:rsid w:val="00CF3942"/>
    <w:rsid w:val="00CF3A72"/>
    <w:rsid w:val="00CF3AA8"/>
    <w:rsid w:val="00CF3B93"/>
    <w:rsid w:val="00CF3B9D"/>
    <w:rsid w:val="00CF3C5F"/>
    <w:rsid w:val="00CF3E36"/>
    <w:rsid w:val="00CF4287"/>
    <w:rsid w:val="00CF45BB"/>
    <w:rsid w:val="00CF554B"/>
    <w:rsid w:val="00CF5695"/>
    <w:rsid w:val="00CF574A"/>
    <w:rsid w:val="00CF5A25"/>
    <w:rsid w:val="00CF5CFB"/>
    <w:rsid w:val="00CF5E5C"/>
    <w:rsid w:val="00CF5EEB"/>
    <w:rsid w:val="00CF65EC"/>
    <w:rsid w:val="00CF685B"/>
    <w:rsid w:val="00CF6F31"/>
    <w:rsid w:val="00CF72D4"/>
    <w:rsid w:val="00CF7865"/>
    <w:rsid w:val="00CF7CCE"/>
    <w:rsid w:val="00CF7FBB"/>
    <w:rsid w:val="00D0009A"/>
    <w:rsid w:val="00D0018C"/>
    <w:rsid w:val="00D00A29"/>
    <w:rsid w:val="00D016CE"/>
    <w:rsid w:val="00D0184F"/>
    <w:rsid w:val="00D018C5"/>
    <w:rsid w:val="00D0194C"/>
    <w:rsid w:val="00D025F7"/>
    <w:rsid w:val="00D02749"/>
    <w:rsid w:val="00D02914"/>
    <w:rsid w:val="00D02BBC"/>
    <w:rsid w:val="00D03293"/>
    <w:rsid w:val="00D03836"/>
    <w:rsid w:val="00D03EF9"/>
    <w:rsid w:val="00D04227"/>
    <w:rsid w:val="00D04738"/>
    <w:rsid w:val="00D04AF8"/>
    <w:rsid w:val="00D052D8"/>
    <w:rsid w:val="00D0540C"/>
    <w:rsid w:val="00D054D1"/>
    <w:rsid w:val="00D055B2"/>
    <w:rsid w:val="00D0577B"/>
    <w:rsid w:val="00D05B30"/>
    <w:rsid w:val="00D060C6"/>
    <w:rsid w:val="00D06147"/>
    <w:rsid w:val="00D0625D"/>
    <w:rsid w:val="00D06538"/>
    <w:rsid w:val="00D066C0"/>
    <w:rsid w:val="00D067A6"/>
    <w:rsid w:val="00D06BDB"/>
    <w:rsid w:val="00D06ECD"/>
    <w:rsid w:val="00D077FC"/>
    <w:rsid w:val="00D07BAD"/>
    <w:rsid w:val="00D100C4"/>
    <w:rsid w:val="00D1011A"/>
    <w:rsid w:val="00D1011D"/>
    <w:rsid w:val="00D104BD"/>
    <w:rsid w:val="00D10736"/>
    <w:rsid w:val="00D10919"/>
    <w:rsid w:val="00D10CA8"/>
    <w:rsid w:val="00D10FFF"/>
    <w:rsid w:val="00D11234"/>
    <w:rsid w:val="00D11A31"/>
    <w:rsid w:val="00D11BAB"/>
    <w:rsid w:val="00D11D19"/>
    <w:rsid w:val="00D11FB3"/>
    <w:rsid w:val="00D12BF5"/>
    <w:rsid w:val="00D12C1A"/>
    <w:rsid w:val="00D12D20"/>
    <w:rsid w:val="00D12DB7"/>
    <w:rsid w:val="00D12DF0"/>
    <w:rsid w:val="00D12EF4"/>
    <w:rsid w:val="00D13682"/>
    <w:rsid w:val="00D137F3"/>
    <w:rsid w:val="00D139EE"/>
    <w:rsid w:val="00D140E2"/>
    <w:rsid w:val="00D14101"/>
    <w:rsid w:val="00D142E1"/>
    <w:rsid w:val="00D147EF"/>
    <w:rsid w:val="00D14D00"/>
    <w:rsid w:val="00D14FB2"/>
    <w:rsid w:val="00D15283"/>
    <w:rsid w:val="00D1536B"/>
    <w:rsid w:val="00D15558"/>
    <w:rsid w:val="00D15C4F"/>
    <w:rsid w:val="00D15D5D"/>
    <w:rsid w:val="00D15DBC"/>
    <w:rsid w:val="00D15DE8"/>
    <w:rsid w:val="00D163F3"/>
    <w:rsid w:val="00D167E8"/>
    <w:rsid w:val="00D167EB"/>
    <w:rsid w:val="00D17021"/>
    <w:rsid w:val="00D17412"/>
    <w:rsid w:val="00D175A8"/>
    <w:rsid w:val="00D175EC"/>
    <w:rsid w:val="00D176C9"/>
    <w:rsid w:val="00D17A5A"/>
    <w:rsid w:val="00D17FC0"/>
    <w:rsid w:val="00D2074D"/>
    <w:rsid w:val="00D2079D"/>
    <w:rsid w:val="00D20A2F"/>
    <w:rsid w:val="00D20AA8"/>
    <w:rsid w:val="00D20F4A"/>
    <w:rsid w:val="00D2112B"/>
    <w:rsid w:val="00D21155"/>
    <w:rsid w:val="00D21BC9"/>
    <w:rsid w:val="00D21DA2"/>
    <w:rsid w:val="00D21FF8"/>
    <w:rsid w:val="00D22970"/>
    <w:rsid w:val="00D22B22"/>
    <w:rsid w:val="00D22BD5"/>
    <w:rsid w:val="00D2382D"/>
    <w:rsid w:val="00D23945"/>
    <w:rsid w:val="00D23F16"/>
    <w:rsid w:val="00D24720"/>
    <w:rsid w:val="00D24A31"/>
    <w:rsid w:val="00D24C2E"/>
    <w:rsid w:val="00D24D97"/>
    <w:rsid w:val="00D24FEA"/>
    <w:rsid w:val="00D25620"/>
    <w:rsid w:val="00D25E29"/>
    <w:rsid w:val="00D26FDE"/>
    <w:rsid w:val="00D27052"/>
    <w:rsid w:val="00D2706C"/>
    <w:rsid w:val="00D2716F"/>
    <w:rsid w:val="00D27239"/>
    <w:rsid w:val="00D2755A"/>
    <w:rsid w:val="00D2768E"/>
    <w:rsid w:val="00D277D4"/>
    <w:rsid w:val="00D279FA"/>
    <w:rsid w:val="00D27CA3"/>
    <w:rsid w:val="00D27DC2"/>
    <w:rsid w:val="00D27DEF"/>
    <w:rsid w:val="00D30384"/>
    <w:rsid w:val="00D30388"/>
    <w:rsid w:val="00D3040B"/>
    <w:rsid w:val="00D3059F"/>
    <w:rsid w:val="00D305C1"/>
    <w:rsid w:val="00D30AFE"/>
    <w:rsid w:val="00D31339"/>
    <w:rsid w:val="00D31A44"/>
    <w:rsid w:val="00D327D7"/>
    <w:rsid w:val="00D335F3"/>
    <w:rsid w:val="00D33976"/>
    <w:rsid w:val="00D33C88"/>
    <w:rsid w:val="00D33F69"/>
    <w:rsid w:val="00D34620"/>
    <w:rsid w:val="00D34B37"/>
    <w:rsid w:val="00D34CC4"/>
    <w:rsid w:val="00D35395"/>
    <w:rsid w:val="00D35D53"/>
    <w:rsid w:val="00D35EF3"/>
    <w:rsid w:val="00D35F02"/>
    <w:rsid w:val="00D36282"/>
    <w:rsid w:val="00D366EF"/>
    <w:rsid w:val="00D367CD"/>
    <w:rsid w:val="00D36A78"/>
    <w:rsid w:val="00D36ABD"/>
    <w:rsid w:val="00D36DB7"/>
    <w:rsid w:val="00D3715D"/>
    <w:rsid w:val="00D37333"/>
    <w:rsid w:val="00D3775E"/>
    <w:rsid w:val="00D37EB3"/>
    <w:rsid w:val="00D401ED"/>
    <w:rsid w:val="00D4022D"/>
    <w:rsid w:val="00D408C7"/>
    <w:rsid w:val="00D40B5F"/>
    <w:rsid w:val="00D40D66"/>
    <w:rsid w:val="00D41162"/>
    <w:rsid w:val="00D418A4"/>
    <w:rsid w:val="00D41987"/>
    <w:rsid w:val="00D41BFA"/>
    <w:rsid w:val="00D41DAC"/>
    <w:rsid w:val="00D4209E"/>
    <w:rsid w:val="00D4241E"/>
    <w:rsid w:val="00D42B89"/>
    <w:rsid w:val="00D42D8E"/>
    <w:rsid w:val="00D4390A"/>
    <w:rsid w:val="00D43920"/>
    <w:rsid w:val="00D4404B"/>
    <w:rsid w:val="00D441EC"/>
    <w:rsid w:val="00D445A6"/>
    <w:rsid w:val="00D44894"/>
    <w:rsid w:val="00D44D96"/>
    <w:rsid w:val="00D454A8"/>
    <w:rsid w:val="00D45A14"/>
    <w:rsid w:val="00D45B1E"/>
    <w:rsid w:val="00D46218"/>
    <w:rsid w:val="00D462AA"/>
    <w:rsid w:val="00D463CA"/>
    <w:rsid w:val="00D46BFA"/>
    <w:rsid w:val="00D46DB2"/>
    <w:rsid w:val="00D46DDD"/>
    <w:rsid w:val="00D46F6B"/>
    <w:rsid w:val="00D47638"/>
    <w:rsid w:val="00D47B4C"/>
    <w:rsid w:val="00D47BC4"/>
    <w:rsid w:val="00D501C5"/>
    <w:rsid w:val="00D508F4"/>
    <w:rsid w:val="00D50E6C"/>
    <w:rsid w:val="00D51380"/>
    <w:rsid w:val="00D5139B"/>
    <w:rsid w:val="00D51463"/>
    <w:rsid w:val="00D5160A"/>
    <w:rsid w:val="00D51B10"/>
    <w:rsid w:val="00D51BD2"/>
    <w:rsid w:val="00D51EF1"/>
    <w:rsid w:val="00D52174"/>
    <w:rsid w:val="00D5218A"/>
    <w:rsid w:val="00D52573"/>
    <w:rsid w:val="00D52F66"/>
    <w:rsid w:val="00D535C8"/>
    <w:rsid w:val="00D540C1"/>
    <w:rsid w:val="00D5442E"/>
    <w:rsid w:val="00D54481"/>
    <w:rsid w:val="00D5482E"/>
    <w:rsid w:val="00D54862"/>
    <w:rsid w:val="00D54E3A"/>
    <w:rsid w:val="00D5502B"/>
    <w:rsid w:val="00D55451"/>
    <w:rsid w:val="00D5558C"/>
    <w:rsid w:val="00D5569B"/>
    <w:rsid w:val="00D556E5"/>
    <w:rsid w:val="00D55AEF"/>
    <w:rsid w:val="00D56228"/>
    <w:rsid w:val="00D5637D"/>
    <w:rsid w:val="00D5653D"/>
    <w:rsid w:val="00D56A44"/>
    <w:rsid w:val="00D5734F"/>
    <w:rsid w:val="00D6036E"/>
    <w:rsid w:val="00D60393"/>
    <w:rsid w:val="00D60413"/>
    <w:rsid w:val="00D60470"/>
    <w:rsid w:val="00D607AA"/>
    <w:rsid w:val="00D60816"/>
    <w:rsid w:val="00D609C4"/>
    <w:rsid w:val="00D60A46"/>
    <w:rsid w:val="00D6109D"/>
    <w:rsid w:val="00D6122A"/>
    <w:rsid w:val="00D61791"/>
    <w:rsid w:val="00D6183E"/>
    <w:rsid w:val="00D61B22"/>
    <w:rsid w:val="00D61B9E"/>
    <w:rsid w:val="00D61D99"/>
    <w:rsid w:val="00D6217D"/>
    <w:rsid w:val="00D622EF"/>
    <w:rsid w:val="00D6258E"/>
    <w:rsid w:val="00D62CC8"/>
    <w:rsid w:val="00D62F5D"/>
    <w:rsid w:val="00D632BA"/>
    <w:rsid w:val="00D63329"/>
    <w:rsid w:val="00D63782"/>
    <w:rsid w:val="00D638A2"/>
    <w:rsid w:val="00D63AE8"/>
    <w:rsid w:val="00D63CB6"/>
    <w:rsid w:val="00D641DD"/>
    <w:rsid w:val="00D6426A"/>
    <w:rsid w:val="00D64351"/>
    <w:rsid w:val="00D645AB"/>
    <w:rsid w:val="00D64BE6"/>
    <w:rsid w:val="00D64CE3"/>
    <w:rsid w:val="00D64E89"/>
    <w:rsid w:val="00D64E8F"/>
    <w:rsid w:val="00D65228"/>
    <w:rsid w:val="00D657CF"/>
    <w:rsid w:val="00D65D7B"/>
    <w:rsid w:val="00D668BB"/>
    <w:rsid w:val="00D66914"/>
    <w:rsid w:val="00D66A5C"/>
    <w:rsid w:val="00D66CA2"/>
    <w:rsid w:val="00D66E0A"/>
    <w:rsid w:val="00D66F36"/>
    <w:rsid w:val="00D672DE"/>
    <w:rsid w:val="00D6756B"/>
    <w:rsid w:val="00D6798E"/>
    <w:rsid w:val="00D67AB0"/>
    <w:rsid w:val="00D67FF9"/>
    <w:rsid w:val="00D7028C"/>
    <w:rsid w:val="00D703A7"/>
    <w:rsid w:val="00D70490"/>
    <w:rsid w:val="00D70650"/>
    <w:rsid w:val="00D70A9C"/>
    <w:rsid w:val="00D70E73"/>
    <w:rsid w:val="00D71070"/>
    <w:rsid w:val="00D7143E"/>
    <w:rsid w:val="00D715D2"/>
    <w:rsid w:val="00D71A39"/>
    <w:rsid w:val="00D71B46"/>
    <w:rsid w:val="00D71C18"/>
    <w:rsid w:val="00D7221C"/>
    <w:rsid w:val="00D72B2E"/>
    <w:rsid w:val="00D72C53"/>
    <w:rsid w:val="00D72CC3"/>
    <w:rsid w:val="00D72EF5"/>
    <w:rsid w:val="00D730A7"/>
    <w:rsid w:val="00D73205"/>
    <w:rsid w:val="00D7393E"/>
    <w:rsid w:val="00D7397A"/>
    <w:rsid w:val="00D73986"/>
    <w:rsid w:val="00D73FD8"/>
    <w:rsid w:val="00D74344"/>
    <w:rsid w:val="00D74387"/>
    <w:rsid w:val="00D746AA"/>
    <w:rsid w:val="00D74ED0"/>
    <w:rsid w:val="00D74FE8"/>
    <w:rsid w:val="00D752B3"/>
    <w:rsid w:val="00D752C0"/>
    <w:rsid w:val="00D755B9"/>
    <w:rsid w:val="00D75757"/>
    <w:rsid w:val="00D75F58"/>
    <w:rsid w:val="00D76205"/>
    <w:rsid w:val="00D766BD"/>
    <w:rsid w:val="00D767D5"/>
    <w:rsid w:val="00D76A3A"/>
    <w:rsid w:val="00D76CF0"/>
    <w:rsid w:val="00D77166"/>
    <w:rsid w:val="00D772F9"/>
    <w:rsid w:val="00D7770E"/>
    <w:rsid w:val="00D7794C"/>
    <w:rsid w:val="00D77D8F"/>
    <w:rsid w:val="00D77DCA"/>
    <w:rsid w:val="00D77FC5"/>
    <w:rsid w:val="00D80062"/>
    <w:rsid w:val="00D80180"/>
    <w:rsid w:val="00D804C4"/>
    <w:rsid w:val="00D8081E"/>
    <w:rsid w:val="00D8088B"/>
    <w:rsid w:val="00D80E18"/>
    <w:rsid w:val="00D80F24"/>
    <w:rsid w:val="00D81A31"/>
    <w:rsid w:val="00D81ABB"/>
    <w:rsid w:val="00D81DB6"/>
    <w:rsid w:val="00D82088"/>
    <w:rsid w:val="00D82B45"/>
    <w:rsid w:val="00D82D3D"/>
    <w:rsid w:val="00D82E2C"/>
    <w:rsid w:val="00D83278"/>
    <w:rsid w:val="00D83C38"/>
    <w:rsid w:val="00D843DD"/>
    <w:rsid w:val="00D844CD"/>
    <w:rsid w:val="00D84CEC"/>
    <w:rsid w:val="00D84F81"/>
    <w:rsid w:val="00D851A7"/>
    <w:rsid w:val="00D852EB"/>
    <w:rsid w:val="00D85691"/>
    <w:rsid w:val="00D859E4"/>
    <w:rsid w:val="00D85A1A"/>
    <w:rsid w:val="00D85A26"/>
    <w:rsid w:val="00D85AD3"/>
    <w:rsid w:val="00D85BA3"/>
    <w:rsid w:val="00D85CEF"/>
    <w:rsid w:val="00D85D32"/>
    <w:rsid w:val="00D8629C"/>
    <w:rsid w:val="00D863D5"/>
    <w:rsid w:val="00D86607"/>
    <w:rsid w:val="00D86A6D"/>
    <w:rsid w:val="00D86BA1"/>
    <w:rsid w:val="00D86C2C"/>
    <w:rsid w:val="00D86CCA"/>
    <w:rsid w:val="00D86DB7"/>
    <w:rsid w:val="00D86DDD"/>
    <w:rsid w:val="00D86EF0"/>
    <w:rsid w:val="00D87062"/>
    <w:rsid w:val="00D87239"/>
    <w:rsid w:val="00D872D3"/>
    <w:rsid w:val="00D8736C"/>
    <w:rsid w:val="00D87556"/>
    <w:rsid w:val="00D875C3"/>
    <w:rsid w:val="00D87B57"/>
    <w:rsid w:val="00D87BB6"/>
    <w:rsid w:val="00D8DCD8"/>
    <w:rsid w:val="00D900DB"/>
    <w:rsid w:val="00D9011A"/>
    <w:rsid w:val="00D904BF"/>
    <w:rsid w:val="00D9089F"/>
    <w:rsid w:val="00D9116A"/>
    <w:rsid w:val="00D9163A"/>
    <w:rsid w:val="00D917C3"/>
    <w:rsid w:val="00D91928"/>
    <w:rsid w:val="00D919A2"/>
    <w:rsid w:val="00D91B88"/>
    <w:rsid w:val="00D91C3F"/>
    <w:rsid w:val="00D91CC6"/>
    <w:rsid w:val="00D9232F"/>
    <w:rsid w:val="00D92449"/>
    <w:rsid w:val="00D927C3"/>
    <w:rsid w:val="00D936CF"/>
    <w:rsid w:val="00D938F0"/>
    <w:rsid w:val="00D93E19"/>
    <w:rsid w:val="00D94531"/>
    <w:rsid w:val="00D948C2"/>
    <w:rsid w:val="00D95220"/>
    <w:rsid w:val="00D9529D"/>
    <w:rsid w:val="00D952AC"/>
    <w:rsid w:val="00D95659"/>
    <w:rsid w:val="00D95B1C"/>
    <w:rsid w:val="00D95E3C"/>
    <w:rsid w:val="00D95E71"/>
    <w:rsid w:val="00D95EBE"/>
    <w:rsid w:val="00D9634F"/>
    <w:rsid w:val="00D96535"/>
    <w:rsid w:val="00D96AC8"/>
    <w:rsid w:val="00D96DBB"/>
    <w:rsid w:val="00D96E87"/>
    <w:rsid w:val="00D96F0E"/>
    <w:rsid w:val="00D97036"/>
    <w:rsid w:val="00D970BC"/>
    <w:rsid w:val="00D97334"/>
    <w:rsid w:val="00D979D9"/>
    <w:rsid w:val="00D97A41"/>
    <w:rsid w:val="00D97B06"/>
    <w:rsid w:val="00D97E84"/>
    <w:rsid w:val="00D97EAB"/>
    <w:rsid w:val="00DA0AA6"/>
    <w:rsid w:val="00DA0C0C"/>
    <w:rsid w:val="00DA0F88"/>
    <w:rsid w:val="00DA139D"/>
    <w:rsid w:val="00DA18C8"/>
    <w:rsid w:val="00DA1975"/>
    <w:rsid w:val="00DA21D6"/>
    <w:rsid w:val="00DA23C5"/>
    <w:rsid w:val="00DA25DC"/>
    <w:rsid w:val="00DA29C4"/>
    <w:rsid w:val="00DA2CC9"/>
    <w:rsid w:val="00DA2E30"/>
    <w:rsid w:val="00DA304F"/>
    <w:rsid w:val="00DA374D"/>
    <w:rsid w:val="00DA3924"/>
    <w:rsid w:val="00DA411F"/>
    <w:rsid w:val="00DA4424"/>
    <w:rsid w:val="00DA4EF1"/>
    <w:rsid w:val="00DA520E"/>
    <w:rsid w:val="00DA53CA"/>
    <w:rsid w:val="00DA563B"/>
    <w:rsid w:val="00DA5976"/>
    <w:rsid w:val="00DA5BE9"/>
    <w:rsid w:val="00DA5FDD"/>
    <w:rsid w:val="00DA63E6"/>
    <w:rsid w:val="00DA654D"/>
    <w:rsid w:val="00DA6777"/>
    <w:rsid w:val="00DA6D79"/>
    <w:rsid w:val="00DA6E26"/>
    <w:rsid w:val="00DA7057"/>
    <w:rsid w:val="00DA7171"/>
    <w:rsid w:val="00DA72DC"/>
    <w:rsid w:val="00DA73E5"/>
    <w:rsid w:val="00DA77CA"/>
    <w:rsid w:val="00DA77E3"/>
    <w:rsid w:val="00DA7AB8"/>
    <w:rsid w:val="00DA7C33"/>
    <w:rsid w:val="00DB021F"/>
    <w:rsid w:val="00DB02A1"/>
    <w:rsid w:val="00DB085C"/>
    <w:rsid w:val="00DB0BD3"/>
    <w:rsid w:val="00DB0E78"/>
    <w:rsid w:val="00DB1181"/>
    <w:rsid w:val="00DB11A7"/>
    <w:rsid w:val="00DB1461"/>
    <w:rsid w:val="00DB1890"/>
    <w:rsid w:val="00DB19B6"/>
    <w:rsid w:val="00DB1B18"/>
    <w:rsid w:val="00DB207C"/>
    <w:rsid w:val="00DB2542"/>
    <w:rsid w:val="00DB2946"/>
    <w:rsid w:val="00DB297E"/>
    <w:rsid w:val="00DB2AF5"/>
    <w:rsid w:val="00DB3028"/>
    <w:rsid w:val="00DB33A7"/>
    <w:rsid w:val="00DB34BB"/>
    <w:rsid w:val="00DB3599"/>
    <w:rsid w:val="00DB3918"/>
    <w:rsid w:val="00DB3A79"/>
    <w:rsid w:val="00DB3AED"/>
    <w:rsid w:val="00DB409E"/>
    <w:rsid w:val="00DB4317"/>
    <w:rsid w:val="00DB4763"/>
    <w:rsid w:val="00DB48A1"/>
    <w:rsid w:val="00DB4CB1"/>
    <w:rsid w:val="00DB4F36"/>
    <w:rsid w:val="00DB5138"/>
    <w:rsid w:val="00DB51B6"/>
    <w:rsid w:val="00DB51EF"/>
    <w:rsid w:val="00DB523E"/>
    <w:rsid w:val="00DB5279"/>
    <w:rsid w:val="00DB548C"/>
    <w:rsid w:val="00DB5A80"/>
    <w:rsid w:val="00DB5C80"/>
    <w:rsid w:val="00DB60CA"/>
    <w:rsid w:val="00DB6225"/>
    <w:rsid w:val="00DB6615"/>
    <w:rsid w:val="00DB67D0"/>
    <w:rsid w:val="00DB6C57"/>
    <w:rsid w:val="00DB6F9C"/>
    <w:rsid w:val="00DB6FDC"/>
    <w:rsid w:val="00DB70A0"/>
    <w:rsid w:val="00DB7111"/>
    <w:rsid w:val="00DB7701"/>
    <w:rsid w:val="00DB7EE0"/>
    <w:rsid w:val="00DB7FF5"/>
    <w:rsid w:val="00DC00E0"/>
    <w:rsid w:val="00DC0BC9"/>
    <w:rsid w:val="00DC0EC9"/>
    <w:rsid w:val="00DC1342"/>
    <w:rsid w:val="00DC19CE"/>
    <w:rsid w:val="00DC1BFB"/>
    <w:rsid w:val="00DC1F6A"/>
    <w:rsid w:val="00DC2052"/>
    <w:rsid w:val="00DC2057"/>
    <w:rsid w:val="00DC20AD"/>
    <w:rsid w:val="00DC2452"/>
    <w:rsid w:val="00DC2889"/>
    <w:rsid w:val="00DC2A6B"/>
    <w:rsid w:val="00DC2E27"/>
    <w:rsid w:val="00DC32C5"/>
    <w:rsid w:val="00DC38B1"/>
    <w:rsid w:val="00DC3B49"/>
    <w:rsid w:val="00DC3C22"/>
    <w:rsid w:val="00DC3E92"/>
    <w:rsid w:val="00DC4386"/>
    <w:rsid w:val="00DC43D0"/>
    <w:rsid w:val="00DC4580"/>
    <w:rsid w:val="00DC4D50"/>
    <w:rsid w:val="00DC4DAC"/>
    <w:rsid w:val="00DC4E79"/>
    <w:rsid w:val="00DC54BB"/>
    <w:rsid w:val="00DC5682"/>
    <w:rsid w:val="00DC5933"/>
    <w:rsid w:val="00DC5D8A"/>
    <w:rsid w:val="00DC6110"/>
    <w:rsid w:val="00DC6222"/>
    <w:rsid w:val="00DC6426"/>
    <w:rsid w:val="00DC66FC"/>
    <w:rsid w:val="00DC6876"/>
    <w:rsid w:val="00DC790B"/>
    <w:rsid w:val="00DC7D08"/>
    <w:rsid w:val="00DD0242"/>
    <w:rsid w:val="00DD044C"/>
    <w:rsid w:val="00DD09C1"/>
    <w:rsid w:val="00DD09D6"/>
    <w:rsid w:val="00DD0A78"/>
    <w:rsid w:val="00DD0B40"/>
    <w:rsid w:val="00DD1209"/>
    <w:rsid w:val="00DD18DA"/>
    <w:rsid w:val="00DD1957"/>
    <w:rsid w:val="00DD1AAB"/>
    <w:rsid w:val="00DD2514"/>
    <w:rsid w:val="00DD2D74"/>
    <w:rsid w:val="00DD2E48"/>
    <w:rsid w:val="00DD3256"/>
    <w:rsid w:val="00DD34FD"/>
    <w:rsid w:val="00DD3701"/>
    <w:rsid w:val="00DD3869"/>
    <w:rsid w:val="00DD38E0"/>
    <w:rsid w:val="00DD39A7"/>
    <w:rsid w:val="00DD3B50"/>
    <w:rsid w:val="00DD3CEC"/>
    <w:rsid w:val="00DD3D02"/>
    <w:rsid w:val="00DD4549"/>
    <w:rsid w:val="00DD4A56"/>
    <w:rsid w:val="00DD4ADB"/>
    <w:rsid w:val="00DD5417"/>
    <w:rsid w:val="00DD5419"/>
    <w:rsid w:val="00DD56BE"/>
    <w:rsid w:val="00DD572B"/>
    <w:rsid w:val="00DD5C0A"/>
    <w:rsid w:val="00DD5D78"/>
    <w:rsid w:val="00DD6077"/>
    <w:rsid w:val="00DD61C9"/>
    <w:rsid w:val="00DD65B2"/>
    <w:rsid w:val="00DD6B1D"/>
    <w:rsid w:val="00DD6C68"/>
    <w:rsid w:val="00DD6C7D"/>
    <w:rsid w:val="00DD714E"/>
    <w:rsid w:val="00DD721D"/>
    <w:rsid w:val="00DD7427"/>
    <w:rsid w:val="00DE0166"/>
    <w:rsid w:val="00DE043F"/>
    <w:rsid w:val="00DE092A"/>
    <w:rsid w:val="00DE0B98"/>
    <w:rsid w:val="00DE0F87"/>
    <w:rsid w:val="00DE1765"/>
    <w:rsid w:val="00DE1854"/>
    <w:rsid w:val="00DE1CF5"/>
    <w:rsid w:val="00DE20C6"/>
    <w:rsid w:val="00DE2175"/>
    <w:rsid w:val="00DE22B6"/>
    <w:rsid w:val="00DE266B"/>
    <w:rsid w:val="00DE2A1D"/>
    <w:rsid w:val="00DE2CC3"/>
    <w:rsid w:val="00DE2E4E"/>
    <w:rsid w:val="00DE2F23"/>
    <w:rsid w:val="00DE3060"/>
    <w:rsid w:val="00DE31F0"/>
    <w:rsid w:val="00DE3314"/>
    <w:rsid w:val="00DE3A3A"/>
    <w:rsid w:val="00DE3F86"/>
    <w:rsid w:val="00DE4736"/>
    <w:rsid w:val="00DE49A7"/>
    <w:rsid w:val="00DE4B0D"/>
    <w:rsid w:val="00DE5575"/>
    <w:rsid w:val="00DE5E63"/>
    <w:rsid w:val="00DE62F9"/>
    <w:rsid w:val="00DE6980"/>
    <w:rsid w:val="00DE6B59"/>
    <w:rsid w:val="00DE6EE3"/>
    <w:rsid w:val="00DE732C"/>
    <w:rsid w:val="00DE774C"/>
    <w:rsid w:val="00DE7D42"/>
    <w:rsid w:val="00DF0003"/>
    <w:rsid w:val="00DF00B8"/>
    <w:rsid w:val="00DF070D"/>
    <w:rsid w:val="00DF07A9"/>
    <w:rsid w:val="00DF0ABC"/>
    <w:rsid w:val="00DF0C2C"/>
    <w:rsid w:val="00DF0CD9"/>
    <w:rsid w:val="00DF1129"/>
    <w:rsid w:val="00DF21A4"/>
    <w:rsid w:val="00DF259A"/>
    <w:rsid w:val="00DF2984"/>
    <w:rsid w:val="00DF29A3"/>
    <w:rsid w:val="00DF2CAE"/>
    <w:rsid w:val="00DF3699"/>
    <w:rsid w:val="00DF3728"/>
    <w:rsid w:val="00DF3889"/>
    <w:rsid w:val="00DF3AF0"/>
    <w:rsid w:val="00DF3BDC"/>
    <w:rsid w:val="00DF3D46"/>
    <w:rsid w:val="00DF3E92"/>
    <w:rsid w:val="00DF4036"/>
    <w:rsid w:val="00DF4D01"/>
    <w:rsid w:val="00DF4DA2"/>
    <w:rsid w:val="00DF4FB4"/>
    <w:rsid w:val="00DF4FFF"/>
    <w:rsid w:val="00DF51A3"/>
    <w:rsid w:val="00DF5437"/>
    <w:rsid w:val="00DF58AE"/>
    <w:rsid w:val="00DF5AAF"/>
    <w:rsid w:val="00DF5C45"/>
    <w:rsid w:val="00DF616A"/>
    <w:rsid w:val="00DF62C7"/>
    <w:rsid w:val="00DF6ACB"/>
    <w:rsid w:val="00DF6D2E"/>
    <w:rsid w:val="00DF7241"/>
    <w:rsid w:val="00DF7E12"/>
    <w:rsid w:val="00DF7FBD"/>
    <w:rsid w:val="00E00270"/>
    <w:rsid w:val="00E004C5"/>
    <w:rsid w:val="00E005A2"/>
    <w:rsid w:val="00E006AF"/>
    <w:rsid w:val="00E00B5E"/>
    <w:rsid w:val="00E00D71"/>
    <w:rsid w:val="00E00F9A"/>
    <w:rsid w:val="00E014B5"/>
    <w:rsid w:val="00E01B27"/>
    <w:rsid w:val="00E01DB6"/>
    <w:rsid w:val="00E01DEA"/>
    <w:rsid w:val="00E01FB2"/>
    <w:rsid w:val="00E020BF"/>
    <w:rsid w:val="00E020F0"/>
    <w:rsid w:val="00E027FB"/>
    <w:rsid w:val="00E02B91"/>
    <w:rsid w:val="00E02CB3"/>
    <w:rsid w:val="00E02D98"/>
    <w:rsid w:val="00E0313F"/>
    <w:rsid w:val="00E04756"/>
    <w:rsid w:val="00E04CDE"/>
    <w:rsid w:val="00E057F2"/>
    <w:rsid w:val="00E05B5E"/>
    <w:rsid w:val="00E05E1C"/>
    <w:rsid w:val="00E05F1B"/>
    <w:rsid w:val="00E06052"/>
    <w:rsid w:val="00E069CC"/>
    <w:rsid w:val="00E069D6"/>
    <w:rsid w:val="00E06AE4"/>
    <w:rsid w:val="00E06B97"/>
    <w:rsid w:val="00E06CCC"/>
    <w:rsid w:val="00E06F96"/>
    <w:rsid w:val="00E070CB"/>
    <w:rsid w:val="00E07782"/>
    <w:rsid w:val="00E078C7"/>
    <w:rsid w:val="00E0794B"/>
    <w:rsid w:val="00E07AE7"/>
    <w:rsid w:val="00E07BA2"/>
    <w:rsid w:val="00E07D1B"/>
    <w:rsid w:val="00E07E7D"/>
    <w:rsid w:val="00E10115"/>
    <w:rsid w:val="00E1084B"/>
    <w:rsid w:val="00E10CC6"/>
    <w:rsid w:val="00E1129F"/>
    <w:rsid w:val="00E115C7"/>
    <w:rsid w:val="00E1168D"/>
    <w:rsid w:val="00E1225C"/>
    <w:rsid w:val="00E124A4"/>
    <w:rsid w:val="00E12583"/>
    <w:rsid w:val="00E12788"/>
    <w:rsid w:val="00E12922"/>
    <w:rsid w:val="00E12BDE"/>
    <w:rsid w:val="00E12E69"/>
    <w:rsid w:val="00E131A3"/>
    <w:rsid w:val="00E1321C"/>
    <w:rsid w:val="00E13BCF"/>
    <w:rsid w:val="00E14484"/>
    <w:rsid w:val="00E1488D"/>
    <w:rsid w:val="00E148D3"/>
    <w:rsid w:val="00E14F07"/>
    <w:rsid w:val="00E152ED"/>
    <w:rsid w:val="00E1543C"/>
    <w:rsid w:val="00E154A6"/>
    <w:rsid w:val="00E15C73"/>
    <w:rsid w:val="00E15F1B"/>
    <w:rsid w:val="00E15F2D"/>
    <w:rsid w:val="00E15F96"/>
    <w:rsid w:val="00E161B2"/>
    <w:rsid w:val="00E164A6"/>
    <w:rsid w:val="00E1651C"/>
    <w:rsid w:val="00E1682B"/>
    <w:rsid w:val="00E16871"/>
    <w:rsid w:val="00E16B4D"/>
    <w:rsid w:val="00E16DD6"/>
    <w:rsid w:val="00E16E09"/>
    <w:rsid w:val="00E17238"/>
    <w:rsid w:val="00E1735D"/>
    <w:rsid w:val="00E175E4"/>
    <w:rsid w:val="00E179B1"/>
    <w:rsid w:val="00E20276"/>
    <w:rsid w:val="00E20292"/>
    <w:rsid w:val="00E203C1"/>
    <w:rsid w:val="00E2046A"/>
    <w:rsid w:val="00E20701"/>
    <w:rsid w:val="00E208A6"/>
    <w:rsid w:val="00E2095E"/>
    <w:rsid w:val="00E20BB7"/>
    <w:rsid w:val="00E2105C"/>
    <w:rsid w:val="00E21604"/>
    <w:rsid w:val="00E2197F"/>
    <w:rsid w:val="00E21C16"/>
    <w:rsid w:val="00E21DF3"/>
    <w:rsid w:val="00E222A4"/>
    <w:rsid w:val="00E224B9"/>
    <w:rsid w:val="00E2292F"/>
    <w:rsid w:val="00E22967"/>
    <w:rsid w:val="00E229DE"/>
    <w:rsid w:val="00E22CA6"/>
    <w:rsid w:val="00E22D39"/>
    <w:rsid w:val="00E22D59"/>
    <w:rsid w:val="00E2318A"/>
    <w:rsid w:val="00E232D5"/>
    <w:rsid w:val="00E23415"/>
    <w:rsid w:val="00E234CC"/>
    <w:rsid w:val="00E23966"/>
    <w:rsid w:val="00E24175"/>
    <w:rsid w:val="00E24924"/>
    <w:rsid w:val="00E24A08"/>
    <w:rsid w:val="00E24C37"/>
    <w:rsid w:val="00E24C3C"/>
    <w:rsid w:val="00E25AE6"/>
    <w:rsid w:val="00E25B31"/>
    <w:rsid w:val="00E265B2"/>
    <w:rsid w:val="00E26D4E"/>
    <w:rsid w:val="00E276B3"/>
    <w:rsid w:val="00E278CB"/>
    <w:rsid w:val="00E27B7D"/>
    <w:rsid w:val="00E303F7"/>
    <w:rsid w:val="00E308B0"/>
    <w:rsid w:val="00E30DF4"/>
    <w:rsid w:val="00E31688"/>
    <w:rsid w:val="00E31938"/>
    <w:rsid w:val="00E31A59"/>
    <w:rsid w:val="00E31C59"/>
    <w:rsid w:val="00E31D61"/>
    <w:rsid w:val="00E31EC5"/>
    <w:rsid w:val="00E321AD"/>
    <w:rsid w:val="00E321E2"/>
    <w:rsid w:val="00E325F9"/>
    <w:rsid w:val="00E328B5"/>
    <w:rsid w:val="00E32F29"/>
    <w:rsid w:val="00E3396E"/>
    <w:rsid w:val="00E33B38"/>
    <w:rsid w:val="00E33E7B"/>
    <w:rsid w:val="00E33F89"/>
    <w:rsid w:val="00E34029"/>
    <w:rsid w:val="00E34168"/>
    <w:rsid w:val="00E347FF"/>
    <w:rsid w:val="00E34901"/>
    <w:rsid w:val="00E34AEB"/>
    <w:rsid w:val="00E34E0C"/>
    <w:rsid w:val="00E34F0B"/>
    <w:rsid w:val="00E34F56"/>
    <w:rsid w:val="00E34F7D"/>
    <w:rsid w:val="00E351A7"/>
    <w:rsid w:val="00E351C2"/>
    <w:rsid w:val="00E354AA"/>
    <w:rsid w:val="00E35692"/>
    <w:rsid w:val="00E35860"/>
    <w:rsid w:val="00E35B47"/>
    <w:rsid w:val="00E35D40"/>
    <w:rsid w:val="00E35F72"/>
    <w:rsid w:val="00E3610D"/>
    <w:rsid w:val="00E3612C"/>
    <w:rsid w:val="00E36631"/>
    <w:rsid w:val="00E36CAF"/>
    <w:rsid w:val="00E36DA4"/>
    <w:rsid w:val="00E37BA3"/>
    <w:rsid w:val="00E37BD3"/>
    <w:rsid w:val="00E37DA0"/>
    <w:rsid w:val="00E401FA"/>
    <w:rsid w:val="00E40911"/>
    <w:rsid w:val="00E410DA"/>
    <w:rsid w:val="00E42AD5"/>
    <w:rsid w:val="00E42BB4"/>
    <w:rsid w:val="00E430EE"/>
    <w:rsid w:val="00E4317C"/>
    <w:rsid w:val="00E431BE"/>
    <w:rsid w:val="00E433B6"/>
    <w:rsid w:val="00E433EA"/>
    <w:rsid w:val="00E43542"/>
    <w:rsid w:val="00E4358E"/>
    <w:rsid w:val="00E44821"/>
    <w:rsid w:val="00E449D8"/>
    <w:rsid w:val="00E44C19"/>
    <w:rsid w:val="00E44D59"/>
    <w:rsid w:val="00E4568D"/>
    <w:rsid w:val="00E4599F"/>
    <w:rsid w:val="00E46252"/>
    <w:rsid w:val="00E4633D"/>
    <w:rsid w:val="00E46404"/>
    <w:rsid w:val="00E46BF5"/>
    <w:rsid w:val="00E47AE9"/>
    <w:rsid w:val="00E47F5A"/>
    <w:rsid w:val="00E50441"/>
    <w:rsid w:val="00E50493"/>
    <w:rsid w:val="00E50679"/>
    <w:rsid w:val="00E50763"/>
    <w:rsid w:val="00E5097E"/>
    <w:rsid w:val="00E50CA2"/>
    <w:rsid w:val="00E51680"/>
    <w:rsid w:val="00E519BE"/>
    <w:rsid w:val="00E51AD0"/>
    <w:rsid w:val="00E51D9F"/>
    <w:rsid w:val="00E51EEF"/>
    <w:rsid w:val="00E51F59"/>
    <w:rsid w:val="00E51F7F"/>
    <w:rsid w:val="00E521AA"/>
    <w:rsid w:val="00E522AD"/>
    <w:rsid w:val="00E52335"/>
    <w:rsid w:val="00E524E3"/>
    <w:rsid w:val="00E527EA"/>
    <w:rsid w:val="00E5292A"/>
    <w:rsid w:val="00E5299E"/>
    <w:rsid w:val="00E52D83"/>
    <w:rsid w:val="00E52ECE"/>
    <w:rsid w:val="00E5323C"/>
    <w:rsid w:val="00E538E2"/>
    <w:rsid w:val="00E53A41"/>
    <w:rsid w:val="00E53E0F"/>
    <w:rsid w:val="00E5485B"/>
    <w:rsid w:val="00E5499E"/>
    <w:rsid w:val="00E54FA4"/>
    <w:rsid w:val="00E55312"/>
    <w:rsid w:val="00E5538A"/>
    <w:rsid w:val="00E556C3"/>
    <w:rsid w:val="00E55D0D"/>
    <w:rsid w:val="00E56156"/>
    <w:rsid w:val="00E56526"/>
    <w:rsid w:val="00E56869"/>
    <w:rsid w:val="00E57470"/>
    <w:rsid w:val="00E57930"/>
    <w:rsid w:val="00E57B57"/>
    <w:rsid w:val="00E57FE8"/>
    <w:rsid w:val="00E6092A"/>
    <w:rsid w:val="00E60B7A"/>
    <w:rsid w:val="00E60DB3"/>
    <w:rsid w:val="00E60DC6"/>
    <w:rsid w:val="00E6121C"/>
    <w:rsid w:val="00E61377"/>
    <w:rsid w:val="00E615F3"/>
    <w:rsid w:val="00E618B4"/>
    <w:rsid w:val="00E61920"/>
    <w:rsid w:val="00E61A54"/>
    <w:rsid w:val="00E61BFC"/>
    <w:rsid w:val="00E61D9A"/>
    <w:rsid w:val="00E61F4A"/>
    <w:rsid w:val="00E6234B"/>
    <w:rsid w:val="00E62FC0"/>
    <w:rsid w:val="00E632CF"/>
    <w:rsid w:val="00E6340F"/>
    <w:rsid w:val="00E6398B"/>
    <w:rsid w:val="00E63F69"/>
    <w:rsid w:val="00E6414A"/>
    <w:rsid w:val="00E6414D"/>
    <w:rsid w:val="00E649E8"/>
    <w:rsid w:val="00E64D5B"/>
    <w:rsid w:val="00E64D77"/>
    <w:rsid w:val="00E64D7A"/>
    <w:rsid w:val="00E650BB"/>
    <w:rsid w:val="00E65444"/>
    <w:rsid w:val="00E65636"/>
    <w:rsid w:val="00E657A4"/>
    <w:rsid w:val="00E65FE1"/>
    <w:rsid w:val="00E664DA"/>
    <w:rsid w:val="00E6688C"/>
    <w:rsid w:val="00E66B54"/>
    <w:rsid w:val="00E66BDE"/>
    <w:rsid w:val="00E66BE5"/>
    <w:rsid w:val="00E66C7F"/>
    <w:rsid w:val="00E66FD5"/>
    <w:rsid w:val="00E670A6"/>
    <w:rsid w:val="00E67226"/>
    <w:rsid w:val="00E67B59"/>
    <w:rsid w:val="00E67DFD"/>
    <w:rsid w:val="00E703B3"/>
    <w:rsid w:val="00E70434"/>
    <w:rsid w:val="00E7078B"/>
    <w:rsid w:val="00E707A6"/>
    <w:rsid w:val="00E70A73"/>
    <w:rsid w:val="00E711E2"/>
    <w:rsid w:val="00E714F3"/>
    <w:rsid w:val="00E7180D"/>
    <w:rsid w:val="00E71A9B"/>
    <w:rsid w:val="00E71C29"/>
    <w:rsid w:val="00E7247F"/>
    <w:rsid w:val="00E72590"/>
    <w:rsid w:val="00E72760"/>
    <w:rsid w:val="00E728C0"/>
    <w:rsid w:val="00E72E37"/>
    <w:rsid w:val="00E72FFF"/>
    <w:rsid w:val="00E7313B"/>
    <w:rsid w:val="00E73588"/>
    <w:rsid w:val="00E7358B"/>
    <w:rsid w:val="00E74123"/>
    <w:rsid w:val="00E74492"/>
    <w:rsid w:val="00E74AD5"/>
    <w:rsid w:val="00E74B1F"/>
    <w:rsid w:val="00E74CD7"/>
    <w:rsid w:val="00E75701"/>
    <w:rsid w:val="00E759B7"/>
    <w:rsid w:val="00E75A9D"/>
    <w:rsid w:val="00E75DD6"/>
    <w:rsid w:val="00E7605D"/>
    <w:rsid w:val="00E7622D"/>
    <w:rsid w:val="00E7658E"/>
    <w:rsid w:val="00E76731"/>
    <w:rsid w:val="00E7698A"/>
    <w:rsid w:val="00E76ACA"/>
    <w:rsid w:val="00E76B10"/>
    <w:rsid w:val="00E76F87"/>
    <w:rsid w:val="00E772E1"/>
    <w:rsid w:val="00E776E7"/>
    <w:rsid w:val="00E77D4E"/>
    <w:rsid w:val="00E806B7"/>
    <w:rsid w:val="00E8080D"/>
    <w:rsid w:val="00E808EA"/>
    <w:rsid w:val="00E80F39"/>
    <w:rsid w:val="00E81224"/>
    <w:rsid w:val="00E817BF"/>
    <w:rsid w:val="00E818B3"/>
    <w:rsid w:val="00E81923"/>
    <w:rsid w:val="00E820ED"/>
    <w:rsid w:val="00E82154"/>
    <w:rsid w:val="00E8244E"/>
    <w:rsid w:val="00E82543"/>
    <w:rsid w:val="00E825A3"/>
    <w:rsid w:val="00E82E04"/>
    <w:rsid w:val="00E82FF8"/>
    <w:rsid w:val="00E83610"/>
    <w:rsid w:val="00E83E34"/>
    <w:rsid w:val="00E83EAF"/>
    <w:rsid w:val="00E84271"/>
    <w:rsid w:val="00E84353"/>
    <w:rsid w:val="00E843F2"/>
    <w:rsid w:val="00E8483F"/>
    <w:rsid w:val="00E84A66"/>
    <w:rsid w:val="00E84AAA"/>
    <w:rsid w:val="00E84AC9"/>
    <w:rsid w:val="00E84C00"/>
    <w:rsid w:val="00E85768"/>
    <w:rsid w:val="00E85D7F"/>
    <w:rsid w:val="00E862F2"/>
    <w:rsid w:val="00E873FA"/>
    <w:rsid w:val="00E876BA"/>
    <w:rsid w:val="00E87969"/>
    <w:rsid w:val="00E87CAE"/>
    <w:rsid w:val="00E87D93"/>
    <w:rsid w:val="00E90014"/>
    <w:rsid w:val="00E907FB"/>
    <w:rsid w:val="00E9096C"/>
    <w:rsid w:val="00E91069"/>
    <w:rsid w:val="00E91076"/>
    <w:rsid w:val="00E917A5"/>
    <w:rsid w:val="00E9184A"/>
    <w:rsid w:val="00E919F5"/>
    <w:rsid w:val="00E91C98"/>
    <w:rsid w:val="00E9220B"/>
    <w:rsid w:val="00E9228F"/>
    <w:rsid w:val="00E932B2"/>
    <w:rsid w:val="00E9348F"/>
    <w:rsid w:val="00E93A54"/>
    <w:rsid w:val="00E93B51"/>
    <w:rsid w:val="00E93BA4"/>
    <w:rsid w:val="00E93F80"/>
    <w:rsid w:val="00E93F84"/>
    <w:rsid w:val="00E94D36"/>
    <w:rsid w:val="00E94DFF"/>
    <w:rsid w:val="00E95084"/>
    <w:rsid w:val="00E95A54"/>
    <w:rsid w:val="00E96953"/>
    <w:rsid w:val="00E96B57"/>
    <w:rsid w:val="00E96F91"/>
    <w:rsid w:val="00E970DA"/>
    <w:rsid w:val="00E9760F"/>
    <w:rsid w:val="00E977D7"/>
    <w:rsid w:val="00E978F5"/>
    <w:rsid w:val="00EA0019"/>
    <w:rsid w:val="00EA01A9"/>
    <w:rsid w:val="00EA0FF1"/>
    <w:rsid w:val="00EA1019"/>
    <w:rsid w:val="00EA13E9"/>
    <w:rsid w:val="00EA1560"/>
    <w:rsid w:val="00EA1599"/>
    <w:rsid w:val="00EA15E9"/>
    <w:rsid w:val="00EA1A4D"/>
    <w:rsid w:val="00EA1A9F"/>
    <w:rsid w:val="00EA20C4"/>
    <w:rsid w:val="00EA234F"/>
    <w:rsid w:val="00EA29BC"/>
    <w:rsid w:val="00EA2A99"/>
    <w:rsid w:val="00EA381D"/>
    <w:rsid w:val="00EA3EDB"/>
    <w:rsid w:val="00EA4312"/>
    <w:rsid w:val="00EA4380"/>
    <w:rsid w:val="00EA498B"/>
    <w:rsid w:val="00EA5108"/>
    <w:rsid w:val="00EA5C65"/>
    <w:rsid w:val="00EA60AE"/>
    <w:rsid w:val="00EA63D1"/>
    <w:rsid w:val="00EA6842"/>
    <w:rsid w:val="00EA6B47"/>
    <w:rsid w:val="00EA7418"/>
    <w:rsid w:val="00EA7FD8"/>
    <w:rsid w:val="00EB10C2"/>
    <w:rsid w:val="00EB1539"/>
    <w:rsid w:val="00EB179B"/>
    <w:rsid w:val="00EB1B22"/>
    <w:rsid w:val="00EB1B4B"/>
    <w:rsid w:val="00EB1D0F"/>
    <w:rsid w:val="00EB2064"/>
    <w:rsid w:val="00EB21C6"/>
    <w:rsid w:val="00EB23C1"/>
    <w:rsid w:val="00EB2405"/>
    <w:rsid w:val="00EB24A1"/>
    <w:rsid w:val="00EB250C"/>
    <w:rsid w:val="00EB43AA"/>
    <w:rsid w:val="00EB4725"/>
    <w:rsid w:val="00EB48A3"/>
    <w:rsid w:val="00EB4CBC"/>
    <w:rsid w:val="00EB4E37"/>
    <w:rsid w:val="00EB5799"/>
    <w:rsid w:val="00EB63B3"/>
    <w:rsid w:val="00EB6493"/>
    <w:rsid w:val="00EB65AE"/>
    <w:rsid w:val="00EB66F5"/>
    <w:rsid w:val="00EB68D9"/>
    <w:rsid w:val="00EB699C"/>
    <w:rsid w:val="00EB6B4B"/>
    <w:rsid w:val="00EB71CB"/>
    <w:rsid w:val="00EB75EB"/>
    <w:rsid w:val="00EB77C8"/>
    <w:rsid w:val="00EB7B74"/>
    <w:rsid w:val="00EB7C6F"/>
    <w:rsid w:val="00EB7DC3"/>
    <w:rsid w:val="00EC005D"/>
    <w:rsid w:val="00EC020E"/>
    <w:rsid w:val="00EC02EC"/>
    <w:rsid w:val="00EC04F9"/>
    <w:rsid w:val="00EC05E7"/>
    <w:rsid w:val="00EC060F"/>
    <w:rsid w:val="00EC0783"/>
    <w:rsid w:val="00EC09D9"/>
    <w:rsid w:val="00EC0ACF"/>
    <w:rsid w:val="00EC11BE"/>
    <w:rsid w:val="00EC14F5"/>
    <w:rsid w:val="00EC1826"/>
    <w:rsid w:val="00EC1885"/>
    <w:rsid w:val="00EC1E0D"/>
    <w:rsid w:val="00EC1FF1"/>
    <w:rsid w:val="00EC21E4"/>
    <w:rsid w:val="00EC24A4"/>
    <w:rsid w:val="00EC24BC"/>
    <w:rsid w:val="00EC2A52"/>
    <w:rsid w:val="00EC2D20"/>
    <w:rsid w:val="00EC32FE"/>
    <w:rsid w:val="00EC3306"/>
    <w:rsid w:val="00EC3568"/>
    <w:rsid w:val="00EC362A"/>
    <w:rsid w:val="00EC3715"/>
    <w:rsid w:val="00EC3798"/>
    <w:rsid w:val="00EC38D5"/>
    <w:rsid w:val="00EC428D"/>
    <w:rsid w:val="00EC4675"/>
    <w:rsid w:val="00EC46AA"/>
    <w:rsid w:val="00EC4DDB"/>
    <w:rsid w:val="00EC4E06"/>
    <w:rsid w:val="00EC502B"/>
    <w:rsid w:val="00EC5591"/>
    <w:rsid w:val="00EC566C"/>
    <w:rsid w:val="00EC58AE"/>
    <w:rsid w:val="00EC5CCA"/>
    <w:rsid w:val="00EC629B"/>
    <w:rsid w:val="00EC644D"/>
    <w:rsid w:val="00EC6B29"/>
    <w:rsid w:val="00EC72F4"/>
    <w:rsid w:val="00EC7620"/>
    <w:rsid w:val="00EC76BF"/>
    <w:rsid w:val="00EC76C8"/>
    <w:rsid w:val="00EC79A0"/>
    <w:rsid w:val="00ED0407"/>
    <w:rsid w:val="00ED0C4C"/>
    <w:rsid w:val="00ED0D28"/>
    <w:rsid w:val="00ED1167"/>
    <w:rsid w:val="00ED133B"/>
    <w:rsid w:val="00ED19B0"/>
    <w:rsid w:val="00ED1A80"/>
    <w:rsid w:val="00ED1C9F"/>
    <w:rsid w:val="00ED2180"/>
    <w:rsid w:val="00ED36F9"/>
    <w:rsid w:val="00ED3965"/>
    <w:rsid w:val="00ED39A4"/>
    <w:rsid w:val="00ED3CD2"/>
    <w:rsid w:val="00ED4116"/>
    <w:rsid w:val="00ED4632"/>
    <w:rsid w:val="00ED483B"/>
    <w:rsid w:val="00ED4863"/>
    <w:rsid w:val="00ED54C5"/>
    <w:rsid w:val="00ED5B47"/>
    <w:rsid w:val="00ED5FF7"/>
    <w:rsid w:val="00ED607C"/>
    <w:rsid w:val="00ED6181"/>
    <w:rsid w:val="00ED61CC"/>
    <w:rsid w:val="00ED63D2"/>
    <w:rsid w:val="00ED66CB"/>
    <w:rsid w:val="00ED6950"/>
    <w:rsid w:val="00ED6992"/>
    <w:rsid w:val="00ED6BA1"/>
    <w:rsid w:val="00ED6D50"/>
    <w:rsid w:val="00ED6D7F"/>
    <w:rsid w:val="00ED705C"/>
    <w:rsid w:val="00ED7315"/>
    <w:rsid w:val="00ED7397"/>
    <w:rsid w:val="00ED7486"/>
    <w:rsid w:val="00ED74D0"/>
    <w:rsid w:val="00ED7D92"/>
    <w:rsid w:val="00EE0049"/>
    <w:rsid w:val="00EE05D6"/>
    <w:rsid w:val="00EE07C4"/>
    <w:rsid w:val="00EE0E83"/>
    <w:rsid w:val="00EE1259"/>
    <w:rsid w:val="00EE17FF"/>
    <w:rsid w:val="00EE196B"/>
    <w:rsid w:val="00EE2786"/>
    <w:rsid w:val="00EE27B3"/>
    <w:rsid w:val="00EE27C9"/>
    <w:rsid w:val="00EE2EA4"/>
    <w:rsid w:val="00EE3034"/>
    <w:rsid w:val="00EE33E4"/>
    <w:rsid w:val="00EE3DC3"/>
    <w:rsid w:val="00EE3F3C"/>
    <w:rsid w:val="00EE413A"/>
    <w:rsid w:val="00EE4496"/>
    <w:rsid w:val="00EE46B2"/>
    <w:rsid w:val="00EE4759"/>
    <w:rsid w:val="00EE49D1"/>
    <w:rsid w:val="00EE4A8C"/>
    <w:rsid w:val="00EE4DC3"/>
    <w:rsid w:val="00EE4EBD"/>
    <w:rsid w:val="00EE5254"/>
    <w:rsid w:val="00EE54BE"/>
    <w:rsid w:val="00EE554D"/>
    <w:rsid w:val="00EE55FE"/>
    <w:rsid w:val="00EE576B"/>
    <w:rsid w:val="00EE58F2"/>
    <w:rsid w:val="00EE5923"/>
    <w:rsid w:val="00EE5942"/>
    <w:rsid w:val="00EE59CF"/>
    <w:rsid w:val="00EE5A12"/>
    <w:rsid w:val="00EE5DC2"/>
    <w:rsid w:val="00EE6591"/>
    <w:rsid w:val="00EE685D"/>
    <w:rsid w:val="00EE6928"/>
    <w:rsid w:val="00EE71CB"/>
    <w:rsid w:val="00EE754F"/>
    <w:rsid w:val="00EE7850"/>
    <w:rsid w:val="00EE7E5B"/>
    <w:rsid w:val="00EE7F06"/>
    <w:rsid w:val="00EF020D"/>
    <w:rsid w:val="00EF0458"/>
    <w:rsid w:val="00EF0796"/>
    <w:rsid w:val="00EF0C14"/>
    <w:rsid w:val="00EF0E0F"/>
    <w:rsid w:val="00EF0EE1"/>
    <w:rsid w:val="00EF0FA7"/>
    <w:rsid w:val="00EF12BA"/>
    <w:rsid w:val="00EF1B5D"/>
    <w:rsid w:val="00EF203A"/>
    <w:rsid w:val="00EF20C3"/>
    <w:rsid w:val="00EF2133"/>
    <w:rsid w:val="00EF221E"/>
    <w:rsid w:val="00EF231F"/>
    <w:rsid w:val="00EF2B7B"/>
    <w:rsid w:val="00EF2D26"/>
    <w:rsid w:val="00EF2E5A"/>
    <w:rsid w:val="00EF312C"/>
    <w:rsid w:val="00EF31F3"/>
    <w:rsid w:val="00EF31FA"/>
    <w:rsid w:val="00EF35F4"/>
    <w:rsid w:val="00EF39B8"/>
    <w:rsid w:val="00EF3AB9"/>
    <w:rsid w:val="00EF3EC6"/>
    <w:rsid w:val="00EF3F56"/>
    <w:rsid w:val="00EF4277"/>
    <w:rsid w:val="00EF430D"/>
    <w:rsid w:val="00EF4348"/>
    <w:rsid w:val="00EF4458"/>
    <w:rsid w:val="00EF48C1"/>
    <w:rsid w:val="00EF4E11"/>
    <w:rsid w:val="00EF5260"/>
    <w:rsid w:val="00EF5330"/>
    <w:rsid w:val="00EF5680"/>
    <w:rsid w:val="00EF56E2"/>
    <w:rsid w:val="00EF5844"/>
    <w:rsid w:val="00EF61B7"/>
    <w:rsid w:val="00EF61FB"/>
    <w:rsid w:val="00EF62C3"/>
    <w:rsid w:val="00EF686C"/>
    <w:rsid w:val="00EF68CD"/>
    <w:rsid w:val="00EF764E"/>
    <w:rsid w:val="00EF77D6"/>
    <w:rsid w:val="00EF788B"/>
    <w:rsid w:val="00EF7C35"/>
    <w:rsid w:val="00EF7D34"/>
    <w:rsid w:val="00EF7DDD"/>
    <w:rsid w:val="00F00141"/>
    <w:rsid w:val="00F001C2"/>
    <w:rsid w:val="00F005B7"/>
    <w:rsid w:val="00F00621"/>
    <w:rsid w:val="00F00625"/>
    <w:rsid w:val="00F006A6"/>
    <w:rsid w:val="00F007CD"/>
    <w:rsid w:val="00F00818"/>
    <w:rsid w:val="00F008D4"/>
    <w:rsid w:val="00F0097D"/>
    <w:rsid w:val="00F00AF1"/>
    <w:rsid w:val="00F00EDA"/>
    <w:rsid w:val="00F011FF"/>
    <w:rsid w:val="00F01C74"/>
    <w:rsid w:val="00F01D68"/>
    <w:rsid w:val="00F01E82"/>
    <w:rsid w:val="00F01F72"/>
    <w:rsid w:val="00F02774"/>
    <w:rsid w:val="00F02D46"/>
    <w:rsid w:val="00F02FB8"/>
    <w:rsid w:val="00F02FC6"/>
    <w:rsid w:val="00F02FE9"/>
    <w:rsid w:val="00F03063"/>
    <w:rsid w:val="00F032FE"/>
    <w:rsid w:val="00F03B44"/>
    <w:rsid w:val="00F03BD1"/>
    <w:rsid w:val="00F03E67"/>
    <w:rsid w:val="00F03E7C"/>
    <w:rsid w:val="00F03EEB"/>
    <w:rsid w:val="00F04525"/>
    <w:rsid w:val="00F04584"/>
    <w:rsid w:val="00F0462E"/>
    <w:rsid w:val="00F049FB"/>
    <w:rsid w:val="00F04BA5"/>
    <w:rsid w:val="00F055BD"/>
    <w:rsid w:val="00F05923"/>
    <w:rsid w:val="00F05928"/>
    <w:rsid w:val="00F05A43"/>
    <w:rsid w:val="00F05FA5"/>
    <w:rsid w:val="00F067EE"/>
    <w:rsid w:val="00F069DD"/>
    <w:rsid w:val="00F06E46"/>
    <w:rsid w:val="00F06E9D"/>
    <w:rsid w:val="00F0708E"/>
    <w:rsid w:val="00F072A4"/>
    <w:rsid w:val="00F072D1"/>
    <w:rsid w:val="00F0735D"/>
    <w:rsid w:val="00F07551"/>
    <w:rsid w:val="00F07717"/>
    <w:rsid w:val="00F07B1E"/>
    <w:rsid w:val="00F07FFD"/>
    <w:rsid w:val="00F0CD99"/>
    <w:rsid w:val="00F1041B"/>
    <w:rsid w:val="00F10641"/>
    <w:rsid w:val="00F106AC"/>
    <w:rsid w:val="00F10C3D"/>
    <w:rsid w:val="00F10C6A"/>
    <w:rsid w:val="00F116E5"/>
    <w:rsid w:val="00F116E9"/>
    <w:rsid w:val="00F1177F"/>
    <w:rsid w:val="00F11783"/>
    <w:rsid w:val="00F11792"/>
    <w:rsid w:val="00F1194E"/>
    <w:rsid w:val="00F119D5"/>
    <w:rsid w:val="00F11E4F"/>
    <w:rsid w:val="00F12048"/>
    <w:rsid w:val="00F121C2"/>
    <w:rsid w:val="00F122F0"/>
    <w:rsid w:val="00F12599"/>
    <w:rsid w:val="00F125E0"/>
    <w:rsid w:val="00F12A38"/>
    <w:rsid w:val="00F12C12"/>
    <w:rsid w:val="00F12CAA"/>
    <w:rsid w:val="00F12F20"/>
    <w:rsid w:val="00F13074"/>
    <w:rsid w:val="00F137F1"/>
    <w:rsid w:val="00F139B0"/>
    <w:rsid w:val="00F13E2D"/>
    <w:rsid w:val="00F13F97"/>
    <w:rsid w:val="00F141BA"/>
    <w:rsid w:val="00F146B9"/>
    <w:rsid w:val="00F147A5"/>
    <w:rsid w:val="00F14CE1"/>
    <w:rsid w:val="00F14D12"/>
    <w:rsid w:val="00F14D50"/>
    <w:rsid w:val="00F14EB7"/>
    <w:rsid w:val="00F14F24"/>
    <w:rsid w:val="00F1565C"/>
    <w:rsid w:val="00F15934"/>
    <w:rsid w:val="00F15BB2"/>
    <w:rsid w:val="00F15EBB"/>
    <w:rsid w:val="00F16012"/>
    <w:rsid w:val="00F1694E"/>
    <w:rsid w:val="00F16DF7"/>
    <w:rsid w:val="00F16EFE"/>
    <w:rsid w:val="00F16F05"/>
    <w:rsid w:val="00F17175"/>
    <w:rsid w:val="00F171B2"/>
    <w:rsid w:val="00F1759D"/>
    <w:rsid w:val="00F17AA9"/>
    <w:rsid w:val="00F17D03"/>
    <w:rsid w:val="00F17D9B"/>
    <w:rsid w:val="00F17EEC"/>
    <w:rsid w:val="00F20862"/>
    <w:rsid w:val="00F208F8"/>
    <w:rsid w:val="00F209CF"/>
    <w:rsid w:val="00F20B36"/>
    <w:rsid w:val="00F20BB4"/>
    <w:rsid w:val="00F20FD1"/>
    <w:rsid w:val="00F21069"/>
    <w:rsid w:val="00F21319"/>
    <w:rsid w:val="00F21716"/>
    <w:rsid w:val="00F2171C"/>
    <w:rsid w:val="00F21907"/>
    <w:rsid w:val="00F21B25"/>
    <w:rsid w:val="00F22449"/>
    <w:rsid w:val="00F225A2"/>
    <w:rsid w:val="00F2267D"/>
    <w:rsid w:val="00F22D4D"/>
    <w:rsid w:val="00F231A6"/>
    <w:rsid w:val="00F235A9"/>
    <w:rsid w:val="00F23AB0"/>
    <w:rsid w:val="00F23BAA"/>
    <w:rsid w:val="00F23DBC"/>
    <w:rsid w:val="00F242A8"/>
    <w:rsid w:val="00F244BF"/>
    <w:rsid w:val="00F24799"/>
    <w:rsid w:val="00F24914"/>
    <w:rsid w:val="00F24EAF"/>
    <w:rsid w:val="00F24F6A"/>
    <w:rsid w:val="00F2554F"/>
    <w:rsid w:val="00F256A4"/>
    <w:rsid w:val="00F2599A"/>
    <w:rsid w:val="00F25A96"/>
    <w:rsid w:val="00F25B9E"/>
    <w:rsid w:val="00F25FE0"/>
    <w:rsid w:val="00F26288"/>
    <w:rsid w:val="00F26619"/>
    <w:rsid w:val="00F26775"/>
    <w:rsid w:val="00F268A7"/>
    <w:rsid w:val="00F27015"/>
    <w:rsid w:val="00F27822"/>
    <w:rsid w:val="00F279F3"/>
    <w:rsid w:val="00F27CD1"/>
    <w:rsid w:val="00F30250"/>
    <w:rsid w:val="00F304AD"/>
    <w:rsid w:val="00F31034"/>
    <w:rsid w:val="00F31308"/>
    <w:rsid w:val="00F313CA"/>
    <w:rsid w:val="00F3153A"/>
    <w:rsid w:val="00F3156A"/>
    <w:rsid w:val="00F317A3"/>
    <w:rsid w:val="00F31966"/>
    <w:rsid w:val="00F31A14"/>
    <w:rsid w:val="00F31A24"/>
    <w:rsid w:val="00F31D15"/>
    <w:rsid w:val="00F31F4C"/>
    <w:rsid w:val="00F31FB8"/>
    <w:rsid w:val="00F320FD"/>
    <w:rsid w:val="00F3241A"/>
    <w:rsid w:val="00F32859"/>
    <w:rsid w:val="00F3288A"/>
    <w:rsid w:val="00F328B7"/>
    <w:rsid w:val="00F33064"/>
    <w:rsid w:val="00F33186"/>
    <w:rsid w:val="00F335A6"/>
    <w:rsid w:val="00F3367C"/>
    <w:rsid w:val="00F33699"/>
    <w:rsid w:val="00F34B16"/>
    <w:rsid w:val="00F34E29"/>
    <w:rsid w:val="00F34E76"/>
    <w:rsid w:val="00F34F38"/>
    <w:rsid w:val="00F3505A"/>
    <w:rsid w:val="00F35141"/>
    <w:rsid w:val="00F3546C"/>
    <w:rsid w:val="00F35705"/>
    <w:rsid w:val="00F35734"/>
    <w:rsid w:val="00F35802"/>
    <w:rsid w:val="00F359D0"/>
    <w:rsid w:val="00F35C51"/>
    <w:rsid w:val="00F35FF4"/>
    <w:rsid w:val="00F360A4"/>
    <w:rsid w:val="00F36448"/>
    <w:rsid w:val="00F3684E"/>
    <w:rsid w:val="00F36B93"/>
    <w:rsid w:val="00F36F64"/>
    <w:rsid w:val="00F37685"/>
    <w:rsid w:val="00F377F2"/>
    <w:rsid w:val="00F3783C"/>
    <w:rsid w:val="00F37C92"/>
    <w:rsid w:val="00F37E60"/>
    <w:rsid w:val="00F4017C"/>
    <w:rsid w:val="00F405D7"/>
    <w:rsid w:val="00F407F4"/>
    <w:rsid w:val="00F40B6E"/>
    <w:rsid w:val="00F41277"/>
    <w:rsid w:val="00F41C62"/>
    <w:rsid w:val="00F41EFC"/>
    <w:rsid w:val="00F41F52"/>
    <w:rsid w:val="00F42153"/>
    <w:rsid w:val="00F4261D"/>
    <w:rsid w:val="00F4278A"/>
    <w:rsid w:val="00F42796"/>
    <w:rsid w:val="00F42993"/>
    <w:rsid w:val="00F42DB0"/>
    <w:rsid w:val="00F42E5C"/>
    <w:rsid w:val="00F42ECE"/>
    <w:rsid w:val="00F42F8C"/>
    <w:rsid w:val="00F43472"/>
    <w:rsid w:val="00F4365C"/>
    <w:rsid w:val="00F43682"/>
    <w:rsid w:val="00F43812"/>
    <w:rsid w:val="00F43B48"/>
    <w:rsid w:val="00F43D90"/>
    <w:rsid w:val="00F440F0"/>
    <w:rsid w:val="00F44138"/>
    <w:rsid w:val="00F44599"/>
    <w:rsid w:val="00F4565A"/>
    <w:rsid w:val="00F45CC3"/>
    <w:rsid w:val="00F45DB9"/>
    <w:rsid w:val="00F4642A"/>
    <w:rsid w:val="00F466F5"/>
    <w:rsid w:val="00F469E7"/>
    <w:rsid w:val="00F46A5A"/>
    <w:rsid w:val="00F46C57"/>
    <w:rsid w:val="00F46ECD"/>
    <w:rsid w:val="00F470AF"/>
    <w:rsid w:val="00F47116"/>
    <w:rsid w:val="00F4719D"/>
    <w:rsid w:val="00F47220"/>
    <w:rsid w:val="00F4728B"/>
    <w:rsid w:val="00F478CC"/>
    <w:rsid w:val="00F47985"/>
    <w:rsid w:val="00F47D5E"/>
    <w:rsid w:val="00F47E21"/>
    <w:rsid w:val="00F506F6"/>
    <w:rsid w:val="00F50808"/>
    <w:rsid w:val="00F50F08"/>
    <w:rsid w:val="00F50FA6"/>
    <w:rsid w:val="00F511A3"/>
    <w:rsid w:val="00F511E1"/>
    <w:rsid w:val="00F51420"/>
    <w:rsid w:val="00F5152A"/>
    <w:rsid w:val="00F51804"/>
    <w:rsid w:val="00F51C7B"/>
    <w:rsid w:val="00F51E71"/>
    <w:rsid w:val="00F5237B"/>
    <w:rsid w:val="00F524D7"/>
    <w:rsid w:val="00F526FE"/>
    <w:rsid w:val="00F5284F"/>
    <w:rsid w:val="00F528A5"/>
    <w:rsid w:val="00F52F70"/>
    <w:rsid w:val="00F52FAB"/>
    <w:rsid w:val="00F5316E"/>
    <w:rsid w:val="00F53199"/>
    <w:rsid w:val="00F5332B"/>
    <w:rsid w:val="00F5376F"/>
    <w:rsid w:val="00F54104"/>
    <w:rsid w:val="00F5417B"/>
    <w:rsid w:val="00F5453E"/>
    <w:rsid w:val="00F54795"/>
    <w:rsid w:val="00F5489E"/>
    <w:rsid w:val="00F54C0C"/>
    <w:rsid w:val="00F55438"/>
    <w:rsid w:val="00F5548F"/>
    <w:rsid w:val="00F5585D"/>
    <w:rsid w:val="00F55ADB"/>
    <w:rsid w:val="00F55C6F"/>
    <w:rsid w:val="00F55F18"/>
    <w:rsid w:val="00F564C7"/>
    <w:rsid w:val="00F56779"/>
    <w:rsid w:val="00F567FA"/>
    <w:rsid w:val="00F56C10"/>
    <w:rsid w:val="00F56CC9"/>
    <w:rsid w:val="00F574F6"/>
    <w:rsid w:val="00F5769D"/>
    <w:rsid w:val="00F57708"/>
    <w:rsid w:val="00F57A06"/>
    <w:rsid w:val="00F57A7D"/>
    <w:rsid w:val="00F57C77"/>
    <w:rsid w:val="00F57E03"/>
    <w:rsid w:val="00F602C3"/>
    <w:rsid w:val="00F604CF"/>
    <w:rsid w:val="00F60686"/>
    <w:rsid w:val="00F60894"/>
    <w:rsid w:val="00F60C26"/>
    <w:rsid w:val="00F60F01"/>
    <w:rsid w:val="00F60F02"/>
    <w:rsid w:val="00F6104D"/>
    <w:rsid w:val="00F61294"/>
    <w:rsid w:val="00F6132B"/>
    <w:rsid w:val="00F6138E"/>
    <w:rsid w:val="00F6142A"/>
    <w:rsid w:val="00F6167F"/>
    <w:rsid w:val="00F61D12"/>
    <w:rsid w:val="00F61DD7"/>
    <w:rsid w:val="00F62137"/>
    <w:rsid w:val="00F62940"/>
    <w:rsid w:val="00F629C4"/>
    <w:rsid w:val="00F62B15"/>
    <w:rsid w:val="00F62BDF"/>
    <w:rsid w:val="00F62F35"/>
    <w:rsid w:val="00F6308B"/>
    <w:rsid w:val="00F635AE"/>
    <w:rsid w:val="00F63AB8"/>
    <w:rsid w:val="00F640B0"/>
    <w:rsid w:val="00F6435C"/>
    <w:rsid w:val="00F64E82"/>
    <w:rsid w:val="00F65155"/>
    <w:rsid w:val="00F6516E"/>
    <w:rsid w:val="00F65204"/>
    <w:rsid w:val="00F65283"/>
    <w:rsid w:val="00F65761"/>
    <w:rsid w:val="00F65878"/>
    <w:rsid w:val="00F65A48"/>
    <w:rsid w:val="00F65A9A"/>
    <w:rsid w:val="00F65B50"/>
    <w:rsid w:val="00F65C31"/>
    <w:rsid w:val="00F65CA7"/>
    <w:rsid w:val="00F65F34"/>
    <w:rsid w:val="00F665D4"/>
    <w:rsid w:val="00F667C0"/>
    <w:rsid w:val="00F667F7"/>
    <w:rsid w:val="00F66AE8"/>
    <w:rsid w:val="00F66D1C"/>
    <w:rsid w:val="00F66E32"/>
    <w:rsid w:val="00F673F8"/>
    <w:rsid w:val="00F6763A"/>
    <w:rsid w:val="00F67ABC"/>
    <w:rsid w:val="00F67F0A"/>
    <w:rsid w:val="00F70596"/>
    <w:rsid w:val="00F70760"/>
    <w:rsid w:val="00F70C1E"/>
    <w:rsid w:val="00F70D84"/>
    <w:rsid w:val="00F70DF9"/>
    <w:rsid w:val="00F711BD"/>
    <w:rsid w:val="00F71654"/>
    <w:rsid w:val="00F71850"/>
    <w:rsid w:val="00F71C26"/>
    <w:rsid w:val="00F71D42"/>
    <w:rsid w:val="00F71E9F"/>
    <w:rsid w:val="00F72528"/>
    <w:rsid w:val="00F72E91"/>
    <w:rsid w:val="00F73265"/>
    <w:rsid w:val="00F73283"/>
    <w:rsid w:val="00F73B4C"/>
    <w:rsid w:val="00F74228"/>
    <w:rsid w:val="00F74475"/>
    <w:rsid w:val="00F74577"/>
    <w:rsid w:val="00F748DA"/>
    <w:rsid w:val="00F74B68"/>
    <w:rsid w:val="00F74C56"/>
    <w:rsid w:val="00F74D10"/>
    <w:rsid w:val="00F74E81"/>
    <w:rsid w:val="00F750F5"/>
    <w:rsid w:val="00F752DE"/>
    <w:rsid w:val="00F753D2"/>
    <w:rsid w:val="00F754BF"/>
    <w:rsid w:val="00F757AA"/>
    <w:rsid w:val="00F75C37"/>
    <w:rsid w:val="00F75F6E"/>
    <w:rsid w:val="00F75FB4"/>
    <w:rsid w:val="00F76048"/>
    <w:rsid w:val="00F761A6"/>
    <w:rsid w:val="00F761C7"/>
    <w:rsid w:val="00F768E9"/>
    <w:rsid w:val="00F769D7"/>
    <w:rsid w:val="00F769F2"/>
    <w:rsid w:val="00F76CD0"/>
    <w:rsid w:val="00F76FD3"/>
    <w:rsid w:val="00F773E8"/>
    <w:rsid w:val="00F77611"/>
    <w:rsid w:val="00F7777A"/>
    <w:rsid w:val="00F77A3E"/>
    <w:rsid w:val="00F77B6C"/>
    <w:rsid w:val="00F77CFF"/>
    <w:rsid w:val="00F77D9F"/>
    <w:rsid w:val="00F77E00"/>
    <w:rsid w:val="00F80109"/>
    <w:rsid w:val="00F8015A"/>
    <w:rsid w:val="00F80160"/>
    <w:rsid w:val="00F8038D"/>
    <w:rsid w:val="00F80E67"/>
    <w:rsid w:val="00F8177F"/>
    <w:rsid w:val="00F81A9F"/>
    <w:rsid w:val="00F81FBA"/>
    <w:rsid w:val="00F8237D"/>
    <w:rsid w:val="00F8241C"/>
    <w:rsid w:val="00F826A1"/>
    <w:rsid w:val="00F829B8"/>
    <w:rsid w:val="00F82AB6"/>
    <w:rsid w:val="00F82BCA"/>
    <w:rsid w:val="00F8381F"/>
    <w:rsid w:val="00F8394B"/>
    <w:rsid w:val="00F83EC1"/>
    <w:rsid w:val="00F840B5"/>
    <w:rsid w:val="00F840E8"/>
    <w:rsid w:val="00F8439A"/>
    <w:rsid w:val="00F84688"/>
    <w:rsid w:val="00F84747"/>
    <w:rsid w:val="00F84BFD"/>
    <w:rsid w:val="00F84C0B"/>
    <w:rsid w:val="00F84C35"/>
    <w:rsid w:val="00F8524A"/>
    <w:rsid w:val="00F858D3"/>
    <w:rsid w:val="00F861E0"/>
    <w:rsid w:val="00F868FD"/>
    <w:rsid w:val="00F86AC0"/>
    <w:rsid w:val="00F86F23"/>
    <w:rsid w:val="00F875E5"/>
    <w:rsid w:val="00F876A1"/>
    <w:rsid w:val="00F87B52"/>
    <w:rsid w:val="00F87CF6"/>
    <w:rsid w:val="00F87F33"/>
    <w:rsid w:val="00F90922"/>
    <w:rsid w:val="00F90A08"/>
    <w:rsid w:val="00F91017"/>
    <w:rsid w:val="00F91358"/>
    <w:rsid w:val="00F91378"/>
    <w:rsid w:val="00F91798"/>
    <w:rsid w:val="00F91A77"/>
    <w:rsid w:val="00F920E9"/>
    <w:rsid w:val="00F924C9"/>
    <w:rsid w:val="00F92D54"/>
    <w:rsid w:val="00F92EA5"/>
    <w:rsid w:val="00F932E5"/>
    <w:rsid w:val="00F935EC"/>
    <w:rsid w:val="00F93BF8"/>
    <w:rsid w:val="00F93E92"/>
    <w:rsid w:val="00F94132"/>
    <w:rsid w:val="00F946C9"/>
    <w:rsid w:val="00F946CF"/>
    <w:rsid w:val="00F94747"/>
    <w:rsid w:val="00F9488E"/>
    <w:rsid w:val="00F951BE"/>
    <w:rsid w:val="00F95389"/>
    <w:rsid w:val="00F95B14"/>
    <w:rsid w:val="00F96049"/>
    <w:rsid w:val="00F9628E"/>
    <w:rsid w:val="00F964CC"/>
    <w:rsid w:val="00F96669"/>
    <w:rsid w:val="00F9673C"/>
    <w:rsid w:val="00F96C1A"/>
    <w:rsid w:val="00F96C67"/>
    <w:rsid w:val="00F9706F"/>
    <w:rsid w:val="00F9792C"/>
    <w:rsid w:val="00F97967"/>
    <w:rsid w:val="00F97ADA"/>
    <w:rsid w:val="00FA02C5"/>
    <w:rsid w:val="00FA092A"/>
    <w:rsid w:val="00FA0B8E"/>
    <w:rsid w:val="00FA0C71"/>
    <w:rsid w:val="00FA0D0D"/>
    <w:rsid w:val="00FA0E27"/>
    <w:rsid w:val="00FA0E85"/>
    <w:rsid w:val="00FA1177"/>
    <w:rsid w:val="00FA13E6"/>
    <w:rsid w:val="00FA1603"/>
    <w:rsid w:val="00FA163E"/>
    <w:rsid w:val="00FA1935"/>
    <w:rsid w:val="00FA19E8"/>
    <w:rsid w:val="00FA1C8F"/>
    <w:rsid w:val="00FA2084"/>
    <w:rsid w:val="00FA22E1"/>
    <w:rsid w:val="00FA336B"/>
    <w:rsid w:val="00FA3598"/>
    <w:rsid w:val="00FA3C3C"/>
    <w:rsid w:val="00FA3C3D"/>
    <w:rsid w:val="00FA3C9E"/>
    <w:rsid w:val="00FA3CD6"/>
    <w:rsid w:val="00FA4032"/>
    <w:rsid w:val="00FA511F"/>
    <w:rsid w:val="00FA5503"/>
    <w:rsid w:val="00FA56E5"/>
    <w:rsid w:val="00FA5794"/>
    <w:rsid w:val="00FA613F"/>
    <w:rsid w:val="00FA6581"/>
    <w:rsid w:val="00FA65E8"/>
    <w:rsid w:val="00FA67C8"/>
    <w:rsid w:val="00FA6DF5"/>
    <w:rsid w:val="00FA72B1"/>
    <w:rsid w:val="00FA72F1"/>
    <w:rsid w:val="00FA73CE"/>
    <w:rsid w:val="00FA759A"/>
    <w:rsid w:val="00FA7813"/>
    <w:rsid w:val="00FA799B"/>
    <w:rsid w:val="00FB04AA"/>
    <w:rsid w:val="00FB04B6"/>
    <w:rsid w:val="00FB055B"/>
    <w:rsid w:val="00FB1C2C"/>
    <w:rsid w:val="00FB1D70"/>
    <w:rsid w:val="00FB1E77"/>
    <w:rsid w:val="00FB30D3"/>
    <w:rsid w:val="00FB37F2"/>
    <w:rsid w:val="00FB3865"/>
    <w:rsid w:val="00FB3B36"/>
    <w:rsid w:val="00FB4047"/>
    <w:rsid w:val="00FB415D"/>
    <w:rsid w:val="00FB4657"/>
    <w:rsid w:val="00FB4A5B"/>
    <w:rsid w:val="00FB4A5C"/>
    <w:rsid w:val="00FB4D4D"/>
    <w:rsid w:val="00FB4F5D"/>
    <w:rsid w:val="00FB52C2"/>
    <w:rsid w:val="00FB5341"/>
    <w:rsid w:val="00FB5437"/>
    <w:rsid w:val="00FB54BD"/>
    <w:rsid w:val="00FB56D9"/>
    <w:rsid w:val="00FB5D37"/>
    <w:rsid w:val="00FB5EE4"/>
    <w:rsid w:val="00FB61C4"/>
    <w:rsid w:val="00FB6277"/>
    <w:rsid w:val="00FB6557"/>
    <w:rsid w:val="00FB6676"/>
    <w:rsid w:val="00FB6706"/>
    <w:rsid w:val="00FB6896"/>
    <w:rsid w:val="00FB6955"/>
    <w:rsid w:val="00FB6C33"/>
    <w:rsid w:val="00FB706B"/>
    <w:rsid w:val="00FB71FE"/>
    <w:rsid w:val="00FB75E5"/>
    <w:rsid w:val="00FB7910"/>
    <w:rsid w:val="00FB7B44"/>
    <w:rsid w:val="00FB7C15"/>
    <w:rsid w:val="00FC018E"/>
    <w:rsid w:val="00FC01D4"/>
    <w:rsid w:val="00FC057C"/>
    <w:rsid w:val="00FC0581"/>
    <w:rsid w:val="00FC08F0"/>
    <w:rsid w:val="00FC12BE"/>
    <w:rsid w:val="00FC169A"/>
    <w:rsid w:val="00FC1764"/>
    <w:rsid w:val="00FC1880"/>
    <w:rsid w:val="00FC1AB6"/>
    <w:rsid w:val="00FC1C59"/>
    <w:rsid w:val="00FC1DC7"/>
    <w:rsid w:val="00FC1ED9"/>
    <w:rsid w:val="00FC2237"/>
    <w:rsid w:val="00FC2392"/>
    <w:rsid w:val="00FC272E"/>
    <w:rsid w:val="00FC27AC"/>
    <w:rsid w:val="00FC29AC"/>
    <w:rsid w:val="00FC395A"/>
    <w:rsid w:val="00FC4462"/>
    <w:rsid w:val="00FC452D"/>
    <w:rsid w:val="00FC4831"/>
    <w:rsid w:val="00FC494A"/>
    <w:rsid w:val="00FC4B2B"/>
    <w:rsid w:val="00FC4EC6"/>
    <w:rsid w:val="00FC51F4"/>
    <w:rsid w:val="00FC51FA"/>
    <w:rsid w:val="00FC529D"/>
    <w:rsid w:val="00FC52F5"/>
    <w:rsid w:val="00FC5341"/>
    <w:rsid w:val="00FC597A"/>
    <w:rsid w:val="00FC5AAD"/>
    <w:rsid w:val="00FC60AF"/>
    <w:rsid w:val="00FC611C"/>
    <w:rsid w:val="00FC664C"/>
    <w:rsid w:val="00FC6730"/>
    <w:rsid w:val="00FC6839"/>
    <w:rsid w:val="00FC6947"/>
    <w:rsid w:val="00FC6B91"/>
    <w:rsid w:val="00FC6CA4"/>
    <w:rsid w:val="00FC6DFC"/>
    <w:rsid w:val="00FC6E6C"/>
    <w:rsid w:val="00FC7073"/>
    <w:rsid w:val="00FC7505"/>
    <w:rsid w:val="00FC7567"/>
    <w:rsid w:val="00FC775A"/>
    <w:rsid w:val="00FC78C2"/>
    <w:rsid w:val="00FC7D38"/>
    <w:rsid w:val="00FC7EBB"/>
    <w:rsid w:val="00FD021D"/>
    <w:rsid w:val="00FD0360"/>
    <w:rsid w:val="00FD082A"/>
    <w:rsid w:val="00FD0A7C"/>
    <w:rsid w:val="00FD1767"/>
    <w:rsid w:val="00FD1878"/>
    <w:rsid w:val="00FD1A27"/>
    <w:rsid w:val="00FD1D67"/>
    <w:rsid w:val="00FD2061"/>
    <w:rsid w:val="00FD2698"/>
    <w:rsid w:val="00FD26EB"/>
    <w:rsid w:val="00FD38EF"/>
    <w:rsid w:val="00FD39CB"/>
    <w:rsid w:val="00FD3C9F"/>
    <w:rsid w:val="00FD43D7"/>
    <w:rsid w:val="00FD447C"/>
    <w:rsid w:val="00FD44E3"/>
    <w:rsid w:val="00FD4E24"/>
    <w:rsid w:val="00FD4FC3"/>
    <w:rsid w:val="00FD5232"/>
    <w:rsid w:val="00FD5607"/>
    <w:rsid w:val="00FD568F"/>
    <w:rsid w:val="00FD5A57"/>
    <w:rsid w:val="00FD5B92"/>
    <w:rsid w:val="00FD5D0E"/>
    <w:rsid w:val="00FD601C"/>
    <w:rsid w:val="00FD60A2"/>
    <w:rsid w:val="00FD6484"/>
    <w:rsid w:val="00FD6A27"/>
    <w:rsid w:val="00FD6DD3"/>
    <w:rsid w:val="00FD709E"/>
    <w:rsid w:val="00FD7134"/>
    <w:rsid w:val="00FD71DB"/>
    <w:rsid w:val="00FD71F2"/>
    <w:rsid w:val="00FD7778"/>
    <w:rsid w:val="00FD7796"/>
    <w:rsid w:val="00FD7FA5"/>
    <w:rsid w:val="00FE003E"/>
    <w:rsid w:val="00FE00A7"/>
    <w:rsid w:val="00FE0933"/>
    <w:rsid w:val="00FE0B43"/>
    <w:rsid w:val="00FE0C92"/>
    <w:rsid w:val="00FE0D21"/>
    <w:rsid w:val="00FE0DDF"/>
    <w:rsid w:val="00FE0FD4"/>
    <w:rsid w:val="00FE17CE"/>
    <w:rsid w:val="00FE1D67"/>
    <w:rsid w:val="00FE1D6D"/>
    <w:rsid w:val="00FE2296"/>
    <w:rsid w:val="00FE24F9"/>
    <w:rsid w:val="00FE2935"/>
    <w:rsid w:val="00FE29CC"/>
    <w:rsid w:val="00FE2A52"/>
    <w:rsid w:val="00FE2EF1"/>
    <w:rsid w:val="00FE311D"/>
    <w:rsid w:val="00FE33E0"/>
    <w:rsid w:val="00FE3431"/>
    <w:rsid w:val="00FE352D"/>
    <w:rsid w:val="00FE376C"/>
    <w:rsid w:val="00FE3CC1"/>
    <w:rsid w:val="00FE4185"/>
    <w:rsid w:val="00FE4EBC"/>
    <w:rsid w:val="00FE4EEF"/>
    <w:rsid w:val="00FE531D"/>
    <w:rsid w:val="00FE5364"/>
    <w:rsid w:val="00FE5769"/>
    <w:rsid w:val="00FE58D8"/>
    <w:rsid w:val="00FE5A56"/>
    <w:rsid w:val="00FE5A6F"/>
    <w:rsid w:val="00FE5A97"/>
    <w:rsid w:val="00FE5B47"/>
    <w:rsid w:val="00FE5C74"/>
    <w:rsid w:val="00FE5E38"/>
    <w:rsid w:val="00FE64A6"/>
    <w:rsid w:val="00FE6742"/>
    <w:rsid w:val="00FE6824"/>
    <w:rsid w:val="00FE68C7"/>
    <w:rsid w:val="00FE6935"/>
    <w:rsid w:val="00FE6BD3"/>
    <w:rsid w:val="00FE6D90"/>
    <w:rsid w:val="00FE7103"/>
    <w:rsid w:val="00FE723F"/>
    <w:rsid w:val="00FE7645"/>
    <w:rsid w:val="00FE787B"/>
    <w:rsid w:val="00FE7AC2"/>
    <w:rsid w:val="00FE7E95"/>
    <w:rsid w:val="00FE7EDA"/>
    <w:rsid w:val="00FF021C"/>
    <w:rsid w:val="00FF0408"/>
    <w:rsid w:val="00FF04E7"/>
    <w:rsid w:val="00FF0CD6"/>
    <w:rsid w:val="00FF0DC6"/>
    <w:rsid w:val="00FF0FF5"/>
    <w:rsid w:val="00FF11F3"/>
    <w:rsid w:val="00FF1A31"/>
    <w:rsid w:val="00FF1D15"/>
    <w:rsid w:val="00FF1EA5"/>
    <w:rsid w:val="00FF21F9"/>
    <w:rsid w:val="00FF23CE"/>
    <w:rsid w:val="00FF253E"/>
    <w:rsid w:val="00FF2939"/>
    <w:rsid w:val="00FF2A57"/>
    <w:rsid w:val="00FF2C96"/>
    <w:rsid w:val="00FF32D4"/>
    <w:rsid w:val="00FF3FFD"/>
    <w:rsid w:val="00FF41A7"/>
    <w:rsid w:val="00FF42F1"/>
    <w:rsid w:val="00FF4352"/>
    <w:rsid w:val="00FF4579"/>
    <w:rsid w:val="00FF4A59"/>
    <w:rsid w:val="00FF4C17"/>
    <w:rsid w:val="00FF4CBF"/>
    <w:rsid w:val="00FF5D45"/>
    <w:rsid w:val="00FF6035"/>
    <w:rsid w:val="00FF6393"/>
    <w:rsid w:val="00FF708F"/>
    <w:rsid w:val="00FF752B"/>
    <w:rsid w:val="00FF75E7"/>
    <w:rsid w:val="00FF781B"/>
    <w:rsid w:val="00FF7892"/>
    <w:rsid w:val="00FF78EE"/>
    <w:rsid w:val="00FF793E"/>
    <w:rsid w:val="011C783E"/>
    <w:rsid w:val="014F3447"/>
    <w:rsid w:val="016EBA51"/>
    <w:rsid w:val="0179F9DA"/>
    <w:rsid w:val="017C32D5"/>
    <w:rsid w:val="018D174A"/>
    <w:rsid w:val="0198BE1B"/>
    <w:rsid w:val="01ACA30C"/>
    <w:rsid w:val="01AD06BD"/>
    <w:rsid w:val="01C42363"/>
    <w:rsid w:val="01DC7117"/>
    <w:rsid w:val="0261F9DC"/>
    <w:rsid w:val="026B87C0"/>
    <w:rsid w:val="026C528F"/>
    <w:rsid w:val="02798A13"/>
    <w:rsid w:val="0288EEEB"/>
    <w:rsid w:val="028C6577"/>
    <w:rsid w:val="02A232DF"/>
    <w:rsid w:val="02E71C39"/>
    <w:rsid w:val="02FA5275"/>
    <w:rsid w:val="030249B1"/>
    <w:rsid w:val="0317BAC5"/>
    <w:rsid w:val="031A43D1"/>
    <w:rsid w:val="031C3D77"/>
    <w:rsid w:val="03268E5D"/>
    <w:rsid w:val="032739E8"/>
    <w:rsid w:val="035EE0CA"/>
    <w:rsid w:val="036C6A34"/>
    <w:rsid w:val="03AAAFCB"/>
    <w:rsid w:val="03C519A7"/>
    <w:rsid w:val="03EBDC81"/>
    <w:rsid w:val="03F1BC94"/>
    <w:rsid w:val="03F54BEC"/>
    <w:rsid w:val="03FAFD75"/>
    <w:rsid w:val="0412ACC6"/>
    <w:rsid w:val="041AA2CC"/>
    <w:rsid w:val="0442B420"/>
    <w:rsid w:val="044A41F6"/>
    <w:rsid w:val="045FB6CE"/>
    <w:rsid w:val="047B819F"/>
    <w:rsid w:val="048556EA"/>
    <w:rsid w:val="04967AA0"/>
    <w:rsid w:val="04B9EE6F"/>
    <w:rsid w:val="04F70169"/>
    <w:rsid w:val="05059FEB"/>
    <w:rsid w:val="050BBFC2"/>
    <w:rsid w:val="050D9459"/>
    <w:rsid w:val="05495AF4"/>
    <w:rsid w:val="055A0AF2"/>
    <w:rsid w:val="055E380E"/>
    <w:rsid w:val="0574FC10"/>
    <w:rsid w:val="05AA7125"/>
    <w:rsid w:val="05EE4014"/>
    <w:rsid w:val="05F0E821"/>
    <w:rsid w:val="05F1CB36"/>
    <w:rsid w:val="062D4D4E"/>
    <w:rsid w:val="068A3230"/>
    <w:rsid w:val="06ABBD58"/>
    <w:rsid w:val="06B142D6"/>
    <w:rsid w:val="06CC1721"/>
    <w:rsid w:val="06DC09A2"/>
    <w:rsid w:val="06EB2431"/>
    <w:rsid w:val="06F75BBC"/>
    <w:rsid w:val="06FBA81F"/>
    <w:rsid w:val="071E0AC9"/>
    <w:rsid w:val="0720F623"/>
    <w:rsid w:val="073DDC87"/>
    <w:rsid w:val="074391D6"/>
    <w:rsid w:val="0797C65F"/>
    <w:rsid w:val="07AADDB3"/>
    <w:rsid w:val="07C6D8DE"/>
    <w:rsid w:val="07DABA49"/>
    <w:rsid w:val="07F668D0"/>
    <w:rsid w:val="07F8E25B"/>
    <w:rsid w:val="0804CB94"/>
    <w:rsid w:val="080639AC"/>
    <w:rsid w:val="0831343F"/>
    <w:rsid w:val="083E62EA"/>
    <w:rsid w:val="0878D1A9"/>
    <w:rsid w:val="08807BD1"/>
    <w:rsid w:val="08A6959A"/>
    <w:rsid w:val="08AE7D3F"/>
    <w:rsid w:val="08C95F49"/>
    <w:rsid w:val="090275D8"/>
    <w:rsid w:val="0907522C"/>
    <w:rsid w:val="090909C6"/>
    <w:rsid w:val="0911AB94"/>
    <w:rsid w:val="091CCC43"/>
    <w:rsid w:val="09261927"/>
    <w:rsid w:val="0931A4BA"/>
    <w:rsid w:val="096FA992"/>
    <w:rsid w:val="0976E271"/>
    <w:rsid w:val="097DEC5C"/>
    <w:rsid w:val="0995B61F"/>
    <w:rsid w:val="09B3C6FA"/>
    <w:rsid w:val="09C59D66"/>
    <w:rsid w:val="09DBC9C6"/>
    <w:rsid w:val="09E017BE"/>
    <w:rsid w:val="09E04332"/>
    <w:rsid w:val="0A0325F0"/>
    <w:rsid w:val="0A38FE30"/>
    <w:rsid w:val="0A3B9246"/>
    <w:rsid w:val="0A42B13C"/>
    <w:rsid w:val="0A528701"/>
    <w:rsid w:val="0A5EA76B"/>
    <w:rsid w:val="0A61C471"/>
    <w:rsid w:val="0A928CF0"/>
    <w:rsid w:val="0AB7938F"/>
    <w:rsid w:val="0ABD4BEF"/>
    <w:rsid w:val="0AC3B952"/>
    <w:rsid w:val="0ADACD7B"/>
    <w:rsid w:val="0B1D17C8"/>
    <w:rsid w:val="0B1FF468"/>
    <w:rsid w:val="0B239198"/>
    <w:rsid w:val="0B4728A4"/>
    <w:rsid w:val="0B6A9F86"/>
    <w:rsid w:val="0B8C8EE8"/>
    <w:rsid w:val="0BAD2068"/>
    <w:rsid w:val="0BDB3762"/>
    <w:rsid w:val="0BE11A56"/>
    <w:rsid w:val="0BE1DEBE"/>
    <w:rsid w:val="0BFCCCE4"/>
    <w:rsid w:val="0C200C7F"/>
    <w:rsid w:val="0C23C58C"/>
    <w:rsid w:val="0C3407C5"/>
    <w:rsid w:val="0C3E6A9D"/>
    <w:rsid w:val="0C4BB42F"/>
    <w:rsid w:val="0C52FBDF"/>
    <w:rsid w:val="0C62AB72"/>
    <w:rsid w:val="0C659AE6"/>
    <w:rsid w:val="0C6D2E01"/>
    <w:rsid w:val="0C7979DF"/>
    <w:rsid w:val="0C9E0213"/>
    <w:rsid w:val="0CCC71FC"/>
    <w:rsid w:val="0CD5BE70"/>
    <w:rsid w:val="0CE63579"/>
    <w:rsid w:val="0D0BFA75"/>
    <w:rsid w:val="0D1217C7"/>
    <w:rsid w:val="0D8258B8"/>
    <w:rsid w:val="0D9CF780"/>
    <w:rsid w:val="0DA939E6"/>
    <w:rsid w:val="0DB17EC1"/>
    <w:rsid w:val="0DB351C3"/>
    <w:rsid w:val="0DBC9A47"/>
    <w:rsid w:val="0DBCD29D"/>
    <w:rsid w:val="0DDF8260"/>
    <w:rsid w:val="0E14A90D"/>
    <w:rsid w:val="0E1D3A38"/>
    <w:rsid w:val="0E284624"/>
    <w:rsid w:val="0E4EF54A"/>
    <w:rsid w:val="0E5BA410"/>
    <w:rsid w:val="0E5FAED4"/>
    <w:rsid w:val="0E748612"/>
    <w:rsid w:val="0ECAAAE2"/>
    <w:rsid w:val="0ED51E07"/>
    <w:rsid w:val="0EDDC52B"/>
    <w:rsid w:val="0EEE495C"/>
    <w:rsid w:val="0EFD2576"/>
    <w:rsid w:val="0F1BF4F1"/>
    <w:rsid w:val="0F63D009"/>
    <w:rsid w:val="0F748143"/>
    <w:rsid w:val="0FC28A08"/>
    <w:rsid w:val="0FC680FF"/>
    <w:rsid w:val="0FD7589A"/>
    <w:rsid w:val="0FDBD058"/>
    <w:rsid w:val="0FE7836C"/>
    <w:rsid w:val="0FEA28DD"/>
    <w:rsid w:val="0FFB8E46"/>
    <w:rsid w:val="1008A46D"/>
    <w:rsid w:val="10186311"/>
    <w:rsid w:val="103EDAD9"/>
    <w:rsid w:val="1063AAFD"/>
    <w:rsid w:val="107E652D"/>
    <w:rsid w:val="10987F65"/>
    <w:rsid w:val="109B08A0"/>
    <w:rsid w:val="10A543BA"/>
    <w:rsid w:val="10A894C7"/>
    <w:rsid w:val="10AA6366"/>
    <w:rsid w:val="10B1ADE1"/>
    <w:rsid w:val="10BBBB82"/>
    <w:rsid w:val="10D222BB"/>
    <w:rsid w:val="1130D533"/>
    <w:rsid w:val="114BBA10"/>
    <w:rsid w:val="11538443"/>
    <w:rsid w:val="115C8926"/>
    <w:rsid w:val="116635E1"/>
    <w:rsid w:val="1166DA36"/>
    <w:rsid w:val="1172C547"/>
    <w:rsid w:val="118C382D"/>
    <w:rsid w:val="1195DBF9"/>
    <w:rsid w:val="11A1BDA8"/>
    <w:rsid w:val="11A49142"/>
    <w:rsid w:val="11AFD749"/>
    <w:rsid w:val="11DD8E98"/>
    <w:rsid w:val="122353ED"/>
    <w:rsid w:val="122CEE00"/>
    <w:rsid w:val="122D3ABD"/>
    <w:rsid w:val="123D11D1"/>
    <w:rsid w:val="1254053A"/>
    <w:rsid w:val="1281BED1"/>
    <w:rsid w:val="12853FF5"/>
    <w:rsid w:val="12878F4A"/>
    <w:rsid w:val="12A5A796"/>
    <w:rsid w:val="12A8BCA2"/>
    <w:rsid w:val="12E58EDA"/>
    <w:rsid w:val="1303173D"/>
    <w:rsid w:val="132C8256"/>
    <w:rsid w:val="132F474C"/>
    <w:rsid w:val="13545387"/>
    <w:rsid w:val="136AB1A9"/>
    <w:rsid w:val="138EB5AC"/>
    <w:rsid w:val="13CE475D"/>
    <w:rsid w:val="13D33225"/>
    <w:rsid w:val="13E2611B"/>
    <w:rsid w:val="13EC4818"/>
    <w:rsid w:val="13F084FD"/>
    <w:rsid w:val="14016056"/>
    <w:rsid w:val="1405B119"/>
    <w:rsid w:val="142142FA"/>
    <w:rsid w:val="1421E308"/>
    <w:rsid w:val="14407F6F"/>
    <w:rsid w:val="147203EF"/>
    <w:rsid w:val="147CB0D2"/>
    <w:rsid w:val="1494768C"/>
    <w:rsid w:val="14E18EF2"/>
    <w:rsid w:val="14F28A1B"/>
    <w:rsid w:val="14F44BAE"/>
    <w:rsid w:val="14F9341B"/>
    <w:rsid w:val="150E7FDA"/>
    <w:rsid w:val="151317D5"/>
    <w:rsid w:val="15145DFC"/>
    <w:rsid w:val="153B028A"/>
    <w:rsid w:val="15525664"/>
    <w:rsid w:val="156A1CA4"/>
    <w:rsid w:val="156E58BD"/>
    <w:rsid w:val="157C5505"/>
    <w:rsid w:val="157E963C"/>
    <w:rsid w:val="15A2B986"/>
    <w:rsid w:val="15B4FFD0"/>
    <w:rsid w:val="15BE9FC2"/>
    <w:rsid w:val="15C4248A"/>
    <w:rsid w:val="15D1D805"/>
    <w:rsid w:val="15E1EE41"/>
    <w:rsid w:val="162AB760"/>
    <w:rsid w:val="162BFE3A"/>
    <w:rsid w:val="1648EC25"/>
    <w:rsid w:val="1662253C"/>
    <w:rsid w:val="167301A4"/>
    <w:rsid w:val="169D8D65"/>
    <w:rsid w:val="16BFAE89"/>
    <w:rsid w:val="16D8CB96"/>
    <w:rsid w:val="16D978E0"/>
    <w:rsid w:val="16EC51D2"/>
    <w:rsid w:val="16F5FC48"/>
    <w:rsid w:val="170CCA89"/>
    <w:rsid w:val="17306A57"/>
    <w:rsid w:val="17441974"/>
    <w:rsid w:val="174867E1"/>
    <w:rsid w:val="176D6E38"/>
    <w:rsid w:val="177600F5"/>
    <w:rsid w:val="179F5C4D"/>
    <w:rsid w:val="17B3349C"/>
    <w:rsid w:val="17F6D55D"/>
    <w:rsid w:val="17FCA15D"/>
    <w:rsid w:val="180C8567"/>
    <w:rsid w:val="181E315D"/>
    <w:rsid w:val="183A878D"/>
    <w:rsid w:val="1843451F"/>
    <w:rsid w:val="1863281A"/>
    <w:rsid w:val="18703483"/>
    <w:rsid w:val="187F838C"/>
    <w:rsid w:val="188456DA"/>
    <w:rsid w:val="18A5A915"/>
    <w:rsid w:val="18AF642E"/>
    <w:rsid w:val="18D17410"/>
    <w:rsid w:val="18D91C04"/>
    <w:rsid w:val="18E51491"/>
    <w:rsid w:val="18E9D7EC"/>
    <w:rsid w:val="18F740D6"/>
    <w:rsid w:val="1933DA50"/>
    <w:rsid w:val="1951E5D0"/>
    <w:rsid w:val="195F5F79"/>
    <w:rsid w:val="196F026F"/>
    <w:rsid w:val="197A3C17"/>
    <w:rsid w:val="19C395AA"/>
    <w:rsid w:val="19DD44C3"/>
    <w:rsid w:val="1A1CCADE"/>
    <w:rsid w:val="1A21FA56"/>
    <w:rsid w:val="1A250022"/>
    <w:rsid w:val="1A2C7736"/>
    <w:rsid w:val="1A685737"/>
    <w:rsid w:val="1AC47EDC"/>
    <w:rsid w:val="1AE8D8BD"/>
    <w:rsid w:val="1AEBDB62"/>
    <w:rsid w:val="1AFA12CB"/>
    <w:rsid w:val="1AFCFBAE"/>
    <w:rsid w:val="1B029149"/>
    <w:rsid w:val="1B151C9F"/>
    <w:rsid w:val="1B3E9266"/>
    <w:rsid w:val="1B42256E"/>
    <w:rsid w:val="1B4BD70F"/>
    <w:rsid w:val="1B4C4624"/>
    <w:rsid w:val="1B620CFB"/>
    <w:rsid w:val="1B8B9CCA"/>
    <w:rsid w:val="1B8E6D56"/>
    <w:rsid w:val="1BA88A72"/>
    <w:rsid w:val="1BB0BE08"/>
    <w:rsid w:val="1BCACEFA"/>
    <w:rsid w:val="1BED7035"/>
    <w:rsid w:val="1BFD0CC4"/>
    <w:rsid w:val="1C305984"/>
    <w:rsid w:val="1C4878E0"/>
    <w:rsid w:val="1C4EB17E"/>
    <w:rsid w:val="1C508F07"/>
    <w:rsid w:val="1C64960A"/>
    <w:rsid w:val="1C6F73F7"/>
    <w:rsid w:val="1C711C27"/>
    <w:rsid w:val="1CBB06B2"/>
    <w:rsid w:val="1CD90FC0"/>
    <w:rsid w:val="1D1B4997"/>
    <w:rsid w:val="1D27281F"/>
    <w:rsid w:val="1D453BC8"/>
    <w:rsid w:val="1D45A501"/>
    <w:rsid w:val="1D5C0F37"/>
    <w:rsid w:val="1D68C135"/>
    <w:rsid w:val="1D7990AA"/>
    <w:rsid w:val="1D799804"/>
    <w:rsid w:val="1D7D718C"/>
    <w:rsid w:val="1D7DB1D9"/>
    <w:rsid w:val="1D8167E9"/>
    <w:rsid w:val="1D9CCE6D"/>
    <w:rsid w:val="1DA5CD71"/>
    <w:rsid w:val="1DDC1225"/>
    <w:rsid w:val="1E386C18"/>
    <w:rsid w:val="1E464605"/>
    <w:rsid w:val="1E48F02D"/>
    <w:rsid w:val="1E9F606B"/>
    <w:rsid w:val="1EBC2745"/>
    <w:rsid w:val="1ED1BE2C"/>
    <w:rsid w:val="1ED6593D"/>
    <w:rsid w:val="1EE79797"/>
    <w:rsid w:val="1F04FB3F"/>
    <w:rsid w:val="1F135718"/>
    <w:rsid w:val="1F29FC9C"/>
    <w:rsid w:val="1F2B6EEA"/>
    <w:rsid w:val="1F3400C5"/>
    <w:rsid w:val="1F38743C"/>
    <w:rsid w:val="1F4E374A"/>
    <w:rsid w:val="1F6A50F3"/>
    <w:rsid w:val="1F700C50"/>
    <w:rsid w:val="1F750656"/>
    <w:rsid w:val="1FAE2A7A"/>
    <w:rsid w:val="1FB99B10"/>
    <w:rsid w:val="1FBA983B"/>
    <w:rsid w:val="1FC87EB1"/>
    <w:rsid w:val="1FD1D401"/>
    <w:rsid w:val="1FD495D0"/>
    <w:rsid w:val="20004847"/>
    <w:rsid w:val="2022E7BE"/>
    <w:rsid w:val="202B0016"/>
    <w:rsid w:val="2050AA01"/>
    <w:rsid w:val="208A5C81"/>
    <w:rsid w:val="20A04C41"/>
    <w:rsid w:val="20A9B638"/>
    <w:rsid w:val="20AD0C1A"/>
    <w:rsid w:val="20D7DE8D"/>
    <w:rsid w:val="20D9119A"/>
    <w:rsid w:val="20E2110E"/>
    <w:rsid w:val="20E47F1F"/>
    <w:rsid w:val="20E8E358"/>
    <w:rsid w:val="20EFF362"/>
    <w:rsid w:val="21064201"/>
    <w:rsid w:val="2115B619"/>
    <w:rsid w:val="211B7619"/>
    <w:rsid w:val="21204AE6"/>
    <w:rsid w:val="2130D360"/>
    <w:rsid w:val="214CAACE"/>
    <w:rsid w:val="2160B7C3"/>
    <w:rsid w:val="2169A8D9"/>
    <w:rsid w:val="217A2A7F"/>
    <w:rsid w:val="217C13EF"/>
    <w:rsid w:val="21A317CC"/>
    <w:rsid w:val="21BBD0FB"/>
    <w:rsid w:val="21EE5AB6"/>
    <w:rsid w:val="221E5D83"/>
    <w:rsid w:val="22596751"/>
    <w:rsid w:val="227D6FB9"/>
    <w:rsid w:val="22A885CD"/>
    <w:rsid w:val="22ACA3F1"/>
    <w:rsid w:val="22BED952"/>
    <w:rsid w:val="22C61EA4"/>
    <w:rsid w:val="22C9580A"/>
    <w:rsid w:val="22D1D486"/>
    <w:rsid w:val="22D7C18C"/>
    <w:rsid w:val="22E8AEDD"/>
    <w:rsid w:val="22F6AB65"/>
    <w:rsid w:val="22F81844"/>
    <w:rsid w:val="230220A6"/>
    <w:rsid w:val="230C5D79"/>
    <w:rsid w:val="23241E4D"/>
    <w:rsid w:val="233C9F82"/>
    <w:rsid w:val="23431FA0"/>
    <w:rsid w:val="23497AF5"/>
    <w:rsid w:val="234B226F"/>
    <w:rsid w:val="23509FEE"/>
    <w:rsid w:val="23870DA4"/>
    <w:rsid w:val="238BA0E8"/>
    <w:rsid w:val="2394EA5F"/>
    <w:rsid w:val="23C767AD"/>
    <w:rsid w:val="23E04175"/>
    <w:rsid w:val="23E0A31F"/>
    <w:rsid w:val="241540CB"/>
    <w:rsid w:val="243FA2B0"/>
    <w:rsid w:val="2461E061"/>
    <w:rsid w:val="2462295D"/>
    <w:rsid w:val="246CDD9B"/>
    <w:rsid w:val="24701436"/>
    <w:rsid w:val="24773B34"/>
    <w:rsid w:val="2485C6B7"/>
    <w:rsid w:val="24AC13E8"/>
    <w:rsid w:val="24C98D4B"/>
    <w:rsid w:val="24FE8413"/>
    <w:rsid w:val="25072000"/>
    <w:rsid w:val="25353753"/>
    <w:rsid w:val="254016C2"/>
    <w:rsid w:val="25514DBC"/>
    <w:rsid w:val="255C2577"/>
    <w:rsid w:val="2573296A"/>
    <w:rsid w:val="2574B46B"/>
    <w:rsid w:val="25A2B9FB"/>
    <w:rsid w:val="25D1A04E"/>
    <w:rsid w:val="25D8F26C"/>
    <w:rsid w:val="25DC51DA"/>
    <w:rsid w:val="25E9698E"/>
    <w:rsid w:val="25FDBA67"/>
    <w:rsid w:val="260B548D"/>
    <w:rsid w:val="2642B6C2"/>
    <w:rsid w:val="26A70BB7"/>
    <w:rsid w:val="26D05396"/>
    <w:rsid w:val="26E5AFD1"/>
    <w:rsid w:val="26EB3FFD"/>
    <w:rsid w:val="271AE7C0"/>
    <w:rsid w:val="273B770F"/>
    <w:rsid w:val="274095C8"/>
    <w:rsid w:val="274F8192"/>
    <w:rsid w:val="275DE509"/>
    <w:rsid w:val="2771B319"/>
    <w:rsid w:val="2788EFD2"/>
    <w:rsid w:val="27902422"/>
    <w:rsid w:val="27A52B1E"/>
    <w:rsid w:val="27D769C7"/>
    <w:rsid w:val="27DF8BC7"/>
    <w:rsid w:val="27E20B87"/>
    <w:rsid w:val="27FA7C89"/>
    <w:rsid w:val="2811E0F2"/>
    <w:rsid w:val="2828F9A8"/>
    <w:rsid w:val="2833D553"/>
    <w:rsid w:val="283AE93F"/>
    <w:rsid w:val="2859E888"/>
    <w:rsid w:val="28672131"/>
    <w:rsid w:val="28756768"/>
    <w:rsid w:val="287BB3D3"/>
    <w:rsid w:val="288E7848"/>
    <w:rsid w:val="28A34A2E"/>
    <w:rsid w:val="28A4E9EF"/>
    <w:rsid w:val="28BFF6EA"/>
    <w:rsid w:val="28D2680E"/>
    <w:rsid w:val="28D56491"/>
    <w:rsid w:val="28F63A38"/>
    <w:rsid w:val="2907FEF2"/>
    <w:rsid w:val="2913F0EE"/>
    <w:rsid w:val="29221338"/>
    <w:rsid w:val="29257C8B"/>
    <w:rsid w:val="2927C9D9"/>
    <w:rsid w:val="29418DF8"/>
    <w:rsid w:val="295EFCD9"/>
    <w:rsid w:val="2964329A"/>
    <w:rsid w:val="2976AB48"/>
    <w:rsid w:val="298C0F48"/>
    <w:rsid w:val="298FFF2A"/>
    <w:rsid w:val="29E24501"/>
    <w:rsid w:val="29E24C88"/>
    <w:rsid w:val="29EE82DA"/>
    <w:rsid w:val="2A0A52BE"/>
    <w:rsid w:val="2A1383DE"/>
    <w:rsid w:val="2A2FDF53"/>
    <w:rsid w:val="2A379FCB"/>
    <w:rsid w:val="2A628FDF"/>
    <w:rsid w:val="2A7B553B"/>
    <w:rsid w:val="2A92DE12"/>
    <w:rsid w:val="2ACF4C5B"/>
    <w:rsid w:val="2AF7B656"/>
    <w:rsid w:val="2B05E288"/>
    <w:rsid w:val="2B2AB2EC"/>
    <w:rsid w:val="2B2C1A03"/>
    <w:rsid w:val="2B4C2303"/>
    <w:rsid w:val="2B5D980B"/>
    <w:rsid w:val="2B80AA73"/>
    <w:rsid w:val="2BD31368"/>
    <w:rsid w:val="2BDD12D5"/>
    <w:rsid w:val="2BEA1C01"/>
    <w:rsid w:val="2BEBE534"/>
    <w:rsid w:val="2C35926F"/>
    <w:rsid w:val="2C417421"/>
    <w:rsid w:val="2C444AFB"/>
    <w:rsid w:val="2C75B71F"/>
    <w:rsid w:val="2C7910AE"/>
    <w:rsid w:val="2C8A8DED"/>
    <w:rsid w:val="2C9ADEF1"/>
    <w:rsid w:val="2CE7E8A2"/>
    <w:rsid w:val="2CEDC291"/>
    <w:rsid w:val="2CEDF761"/>
    <w:rsid w:val="2CFEC2B6"/>
    <w:rsid w:val="2D02AE09"/>
    <w:rsid w:val="2D04CE91"/>
    <w:rsid w:val="2D0E744B"/>
    <w:rsid w:val="2D0FCD5D"/>
    <w:rsid w:val="2D2BFB2D"/>
    <w:rsid w:val="2D529FD1"/>
    <w:rsid w:val="2D586166"/>
    <w:rsid w:val="2D645DB4"/>
    <w:rsid w:val="2D9FC2CF"/>
    <w:rsid w:val="2DEC86BF"/>
    <w:rsid w:val="2E2DBB71"/>
    <w:rsid w:val="2E49DEA6"/>
    <w:rsid w:val="2E5BA76C"/>
    <w:rsid w:val="2E64B5AB"/>
    <w:rsid w:val="2E683C3E"/>
    <w:rsid w:val="2E87076F"/>
    <w:rsid w:val="2EB6E87E"/>
    <w:rsid w:val="2EB8C214"/>
    <w:rsid w:val="2EC2A389"/>
    <w:rsid w:val="2EC9F88B"/>
    <w:rsid w:val="2EDFA86B"/>
    <w:rsid w:val="2EEB3EC3"/>
    <w:rsid w:val="2EED5D8F"/>
    <w:rsid w:val="2F00237D"/>
    <w:rsid w:val="2F05B0F2"/>
    <w:rsid w:val="2F0D0F0D"/>
    <w:rsid w:val="2F188F6C"/>
    <w:rsid w:val="2F1D9A82"/>
    <w:rsid w:val="2F45F529"/>
    <w:rsid w:val="2F5788C0"/>
    <w:rsid w:val="2F5C2536"/>
    <w:rsid w:val="2F5DF2B3"/>
    <w:rsid w:val="2F5E429A"/>
    <w:rsid w:val="2F5F4686"/>
    <w:rsid w:val="2F689056"/>
    <w:rsid w:val="2F77EDC0"/>
    <w:rsid w:val="2F9AC143"/>
    <w:rsid w:val="2FB0F257"/>
    <w:rsid w:val="2FB9BFB2"/>
    <w:rsid w:val="2FCB4905"/>
    <w:rsid w:val="2FE06037"/>
    <w:rsid w:val="2FFAD680"/>
    <w:rsid w:val="3009072B"/>
    <w:rsid w:val="301F54E8"/>
    <w:rsid w:val="30382D5E"/>
    <w:rsid w:val="3055EAA5"/>
    <w:rsid w:val="306B8EC8"/>
    <w:rsid w:val="3088DA72"/>
    <w:rsid w:val="30AED50D"/>
    <w:rsid w:val="30BA59B0"/>
    <w:rsid w:val="310716FB"/>
    <w:rsid w:val="310C7710"/>
    <w:rsid w:val="31319368"/>
    <w:rsid w:val="313ABE7A"/>
    <w:rsid w:val="3156DF27"/>
    <w:rsid w:val="31C1F49B"/>
    <w:rsid w:val="31E7CEC7"/>
    <w:rsid w:val="31E9E39A"/>
    <w:rsid w:val="31EC6DC8"/>
    <w:rsid w:val="31F1121F"/>
    <w:rsid w:val="31F937CC"/>
    <w:rsid w:val="3241BAA9"/>
    <w:rsid w:val="3278E944"/>
    <w:rsid w:val="32ACF56A"/>
    <w:rsid w:val="32BEFF9D"/>
    <w:rsid w:val="32CC3C20"/>
    <w:rsid w:val="32D1127C"/>
    <w:rsid w:val="32DD1CBB"/>
    <w:rsid w:val="32F69394"/>
    <w:rsid w:val="33038532"/>
    <w:rsid w:val="331EC8D5"/>
    <w:rsid w:val="333C9FDE"/>
    <w:rsid w:val="3342E346"/>
    <w:rsid w:val="336120E4"/>
    <w:rsid w:val="3363D1A0"/>
    <w:rsid w:val="33768314"/>
    <w:rsid w:val="33771345"/>
    <w:rsid w:val="3388F7E0"/>
    <w:rsid w:val="33F77515"/>
    <w:rsid w:val="342CAF49"/>
    <w:rsid w:val="34305212"/>
    <w:rsid w:val="3434FD40"/>
    <w:rsid w:val="3443BCB4"/>
    <w:rsid w:val="34661DFE"/>
    <w:rsid w:val="3469992D"/>
    <w:rsid w:val="34768EA5"/>
    <w:rsid w:val="34B0ADC0"/>
    <w:rsid w:val="34C8ED45"/>
    <w:rsid w:val="34D0AD0D"/>
    <w:rsid w:val="34D9343A"/>
    <w:rsid w:val="34EC55DD"/>
    <w:rsid w:val="34F5454D"/>
    <w:rsid w:val="35243A5A"/>
    <w:rsid w:val="35505877"/>
    <w:rsid w:val="356391F3"/>
    <w:rsid w:val="356A18D2"/>
    <w:rsid w:val="357C7F13"/>
    <w:rsid w:val="35CEE216"/>
    <w:rsid w:val="35D7E73C"/>
    <w:rsid w:val="35FBD7E4"/>
    <w:rsid w:val="36224BBC"/>
    <w:rsid w:val="363683CC"/>
    <w:rsid w:val="363BA1B9"/>
    <w:rsid w:val="36478F6B"/>
    <w:rsid w:val="364FCD88"/>
    <w:rsid w:val="366723EA"/>
    <w:rsid w:val="3672B5B8"/>
    <w:rsid w:val="3673C0A2"/>
    <w:rsid w:val="3681C606"/>
    <w:rsid w:val="36A0315D"/>
    <w:rsid w:val="36A7902B"/>
    <w:rsid w:val="36AEF7D5"/>
    <w:rsid w:val="36C2CA88"/>
    <w:rsid w:val="36CBABAB"/>
    <w:rsid w:val="36CCFDFF"/>
    <w:rsid w:val="36DC77F3"/>
    <w:rsid w:val="36E7EAD3"/>
    <w:rsid w:val="37135F9C"/>
    <w:rsid w:val="37471FE7"/>
    <w:rsid w:val="375C0EB3"/>
    <w:rsid w:val="376365FA"/>
    <w:rsid w:val="377923DF"/>
    <w:rsid w:val="377C000F"/>
    <w:rsid w:val="379684FC"/>
    <w:rsid w:val="37977D9D"/>
    <w:rsid w:val="37A42FB4"/>
    <w:rsid w:val="37D13B22"/>
    <w:rsid w:val="37D45FE1"/>
    <w:rsid w:val="37DEAD17"/>
    <w:rsid w:val="37EFE643"/>
    <w:rsid w:val="383FB4EA"/>
    <w:rsid w:val="383FD431"/>
    <w:rsid w:val="384E80CE"/>
    <w:rsid w:val="387FFAA0"/>
    <w:rsid w:val="3891F892"/>
    <w:rsid w:val="389D3AA3"/>
    <w:rsid w:val="38A2E36C"/>
    <w:rsid w:val="38A72D01"/>
    <w:rsid w:val="38B56685"/>
    <w:rsid w:val="38C937E9"/>
    <w:rsid w:val="38E79BE3"/>
    <w:rsid w:val="38EA31D1"/>
    <w:rsid w:val="38EB1C9A"/>
    <w:rsid w:val="38FAA0FC"/>
    <w:rsid w:val="38FAA4D6"/>
    <w:rsid w:val="3923E9D9"/>
    <w:rsid w:val="39496943"/>
    <w:rsid w:val="394F938B"/>
    <w:rsid w:val="3979BA4C"/>
    <w:rsid w:val="397B0C5A"/>
    <w:rsid w:val="397E9819"/>
    <w:rsid w:val="39899378"/>
    <w:rsid w:val="39A9A190"/>
    <w:rsid w:val="3A1028EC"/>
    <w:rsid w:val="3A1AB454"/>
    <w:rsid w:val="3A1DE64C"/>
    <w:rsid w:val="3A1FE4C2"/>
    <w:rsid w:val="3A201B86"/>
    <w:rsid w:val="3A3DEA7F"/>
    <w:rsid w:val="3A5E3888"/>
    <w:rsid w:val="3A75840F"/>
    <w:rsid w:val="3A820004"/>
    <w:rsid w:val="3A83F091"/>
    <w:rsid w:val="3A867CC1"/>
    <w:rsid w:val="3AA1A932"/>
    <w:rsid w:val="3AB64926"/>
    <w:rsid w:val="3AC4326A"/>
    <w:rsid w:val="3AD654CA"/>
    <w:rsid w:val="3ADA09E4"/>
    <w:rsid w:val="3AFC11CF"/>
    <w:rsid w:val="3B3D58CD"/>
    <w:rsid w:val="3B57ECE4"/>
    <w:rsid w:val="3B63765C"/>
    <w:rsid w:val="3B6A87A4"/>
    <w:rsid w:val="3B6EC605"/>
    <w:rsid w:val="3B747628"/>
    <w:rsid w:val="3B7AAB75"/>
    <w:rsid w:val="3B7B86EA"/>
    <w:rsid w:val="3B829145"/>
    <w:rsid w:val="3B912C89"/>
    <w:rsid w:val="3BC7854D"/>
    <w:rsid w:val="3BE19CD3"/>
    <w:rsid w:val="3BF08884"/>
    <w:rsid w:val="3C02BABE"/>
    <w:rsid w:val="3C1545CE"/>
    <w:rsid w:val="3C1E7CA0"/>
    <w:rsid w:val="3C1EF164"/>
    <w:rsid w:val="3C2D2F8B"/>
    <w:rsid w:val="3CC38A93"/>
    <w:rsid w:val="3CD71354"/>
    <w:rsid w:val="3CE1268E"/>
    <w:rsid w:val="3D13C6FD"/>
    <w:rsid w:val="3D450BB6"/>
    <w:rsid w:val="3D5F6033"/>
    <w:rsid w:val="3D82CBE1"/>
    <w:rsid w:val="3DB49A7D"/>
    <w:rsid w:val="3DD378F5"/>
    <w:rsid w:val="3DF2CC74"/>
    <w:rsid w:val="3E0A065F"/>
    <w:rsid w:val="3E10FF05"/>
    <w:rsid w:val="3E256084"/>
    <w:rsid w:val="3E32F79C"/>
    <w:rsid w:val="3E6837F7"/>
    <w:rsid w:val="3E6FF495"/>
    <w:rsid w:val="3E8D41FE"/>
    <w:rsid w:val="3EC54EF5"/>
    <w:rsid w:val="3EC95F97"/>
    <w:rsid w:val="3ED0EEDB"/>
    <w:rsid w:val="3ED27348"/>
    <w:rsid w:val="3ED73F0C"/>
    <w:rsid w:val="3EDC05E5"/>
    <w:rsid w:val="3EE084AC"/>
    <w:rsid w:val="3EE12F68"/>
    <w:rsid w:val="3EF570BE"/>
    <w:rsid w:val="3EF6AC61"/>
    <w:rsid w:val="3F0705A4"/>
    <w:rsid w:val="3F2EBE54"/>
    <w:rsid w:val="3F2F0AE4"/>
    <w:rsid w:val="3F38080E"/>
    <w:rsid w:val="3F47635A"/>
    <w:rsid w:val="3F5DFA29"/>
    <w:rsid w:val="3F793F61"/>
    <w:rsid w:val="3F84D304"/>
    <w:rsid w:val="3FC19538"/>
    <w:rsid w:val="3FF525ED"/>
    <w:rsid w:val="400392F5"/>
    <w:rsid w:val="40085743"/>
    <w:rsid w:val="4021B741"/>
    <w:rsid w:val="40394371"/>
    <w:rsid w:val="4052CE84"/>
    <w:rsid w:val="40545DE5"/>
    <w:rsid w:val="406AFBB8"/>
    <w:rsid w:val="409DD315"/>
    <w:rsid w:val="40AF5782"/>
    <w:rsid w:val="40B070F7"/>
    <w:rsid w:val="40C11429"/>
    <w:rsid w:val="40E27911"/>
    <w:rsid w:val="40F164A9"/>
    <w:rsid w:val="40F2ABF3"/>
    <w:rsid w:val="411A7F2B"/>
    <w:rsid w:val="41593D34"/>
    <w:rsid w:val="4166EFE3"/>
    <w:rsid w:val="41720FB5"/>
    <w:rsid w:val="4173A984"/>
    <w:rsid w:val="41B31249"/>
    <w:rsid w:val="41B59B84"/>
    <w:rsid w:val="41DA7C8E"/>
    <w:rsid w:val="41DCD36D"/>
    <w:rsid w:val="41F8C457"/>
    <w:rsid w:val="4207A584"/>
    <w:rsid w:val="4209C6AE"/>
    <w:rsid w:val="4219F036"/>
    <w:rsid w:val="422EE3CF"/>
    <w:rsid w:val="422FBB97"/>
    <w:rsid w:val="4230BD7E"/>
    <w:rsid w:val="425C10FB"/>
    <w:rsid w:val="425D1DD9"/>
    <w:rsid w:val="42779D81"/>
    <w:rsid w:val="4288B96D"/>
    <w:rsid w:val="429C4EFD"/>
    <w:rsid w:val="42B71278"/>
    <w:rsid w:val="42C28A28"/>
    <w:rsid w:val="42C9B9D5"/>
    <w:rsid w:val="42C9FEC5"/>
    <w:rsid w:val="42CAC8F5"/>
    <w:rsid w:val="42CCC391"/>
    <w:rsid w:val="42D10CA0"/>
    <w:rsid w:val="42D4D3F5"/>
    <w:rsid w:val="42F3A128"/>
    <w:rsid w:val="42FE03A7"/>
    <w:rsid w:val="42FF9DD2"/>
    <w:rsid w:val="43019A46"/>
    <w:rsid w:val="430B426F"/>
    <w:rsid w:val="4317631F"/>
    <w:rsid w:val="435387E3"/>
    <w:rsid w:val="43558956"/>
    <w:rsid w:val="43AE4FFE"/>
    <w:rsid w:val="43D8168E"/>
    <w:rsid w:val="43E5C9AD"/>
    <w:rsid w:val="43EB972C"/>
    <w:rsid w:val="43F70F78"/>
    <w:rsid w:val="4416D778"/>
    <w:rsid w:val="445C4CD3"/>
    <w:rsid w:val="445E5937"/>
    <w:rsid w:val="446A6092"/>
    <w:rsid w:val="447866A6"/>
    <w:rsid w:val="4493F71F"/>
    <w:rsid w:val="44C44A6A"/>
    <w:rsid w:val="44D1A178"/>
    <w:rsid w:val="44D39906"/>
    <w:rsid w:val="44ECCC3E"/>
    <w:rsid w:val="450A66EA"/>
    <w:rsid w:val="452C85F3"/>
    <w:rsid w:val="45328E96"/>
    <w:rsid w:val="453FE951"/>
    <w:rsid w:val="457C3245"/>
    <w:rsid w:val="458F8838"/>
    <w:rsid w:val="45B310F9"/>
    <w:rsid w:val="46219774"/>
    <w:rsid w:val="46283D9A"/>
    <w:rsid w:val="463FD274"/>
    <w:rsid w:val="4641E61F"/>
    <w:rsid w:val="467B9079"/>
    <w:rsid w:val="468077E8"/>
    <w:rsid w:val="46BC8D58"/>
    <w:rsid w:val="46D0393D"/>
    <w:rsid w:val="46D92540"/>
    <w:rsid w:val="46DF198D"/>
    <w:rsid w:val="46E11DB5"/>
    <w:rsid w:val="46EF43AF"/>
    <w:rsid w:val="470A3E6F"/>
    <w:rsid w:val="472DC78C"/>
    <w:rsid w:val="47462CA1"/>
    <w:rsid w:val="476A59EC"/>
    <w:rsid w:val="47788C3D"/>
    <w:rsid w:val="478404B3"/>
    <w:rsid w:val="47D56684"/>
    <w:rsid w:val="47E9F119"/>
    <w:rsid w:val="480CB44D"/>
    <w:rsid w:val="481B7BEA"/>
    <w:rsid w:val="48210040"/>
    <w:rsid w:val="48297B27"/>
    <w:rsid w:val="485CC0CD"/>
    <w:rsid w:val="4881FBBC"/>
    <w:rsid w:val="48A3D3D3"/>
    <w:rsid w:val="48AE3870"/>
    <w:rsid w:val="48CAF38A"/>
    <w:rsid w:val="48CE415C"/>
    <w:rsid w:val="48D7D9EE"/>
    <w:rsid w:val="4901AB86"/>
    <w:rsid w:val="49057CC0"/>
    <w:rsid w:val="491665F4"/>
    <w:rsid w:val="494EFDA5"/>
    <w:rsid w:val="495978DF"/>
    <w:rsid w:val="49C566F8"/>
    <w:rsid w:val="49D75A20"/>
    <w:rsid w:val="49DBF542"/>
    <w:rsid w:val="4A154388"/>
    <w:rsid w:val="4A35D267"/>
    <w:rsid w:val="4A36983A"/>
    <w:rsid w:val="4A36F67C"/>
    <w:rsid w:val="4A557048"/>
    <w:rsid w:val="4A954824"/>
    <w:rsid w:val="4AB5EF5D"/>
    <w:rsid w:val="4AB81F95"/>
    <w:rsid w:val="4ABAADFC"/>
    <w:rsid w:val="4AC0763B"/>
    <w:rsid w:val="4ADA6545"/>
    <w:rsid w:val="4ADF4503"/>
    <w:rsid w:val="4AEADEEF"/>
    <w:rsid w:val="4AEE087E"/>
    <w:rsid w:val="4B27EEDB"/>
    <w:rsid w:val="4B2A1462"/>
    <w:rsid w:val="4B8C9623"/>
    <w:rsid w:val="4BB16F20"/>
    <w:rsid w:val="4BC99253"/>
    <w:rsid w:val="4BDC0BF4"/>
    <w:rsid w:val="4BE08E52"/>
    <w:rsid w:val="4BFD1DE2"/>
    <w:rsid w:val="4C08C70E"/>
    <w:rsid w:val="4C2D9B22"/>
    <w:rsid w:val="4C30583D"/>
    <w:rsid w:val="4C4EA490"/>
    <w:rsid w:val="4C68A8CF"/>
    <w:rsid w:val="4C7FFF77"/>
    <w:rsid w:val="4C887F01"/>
    <w:rsid w:val="4C9A18E6"/>
    <w:rsid w:val="4CA27971"/>
    <w:rsid w:val="4CC28356"/>
    <w:rsid w:val="4D184833"/>
    <w:rsid w:val="4D348CCA"/>
    <w:rsid w:val="4D47FAEA"/>
    <w:rsid w:val="4D5EBB12"/>
    <w:rsid w:val="4D617007"/>
    <w:rsid w:val="4D69285B"/>
    <w:rsid w:val="4D703C01"/>
    <w:rsid w:val="4D774DE3"/>
    <w:rsid w:val="4D7EBACC"/>
    <w:rsid w:val="4DA2351E"/>
    <w:rsid w:val="4DA2FDFC"/>
    <w:rsid w:val="4DAB2A4E"/>
    <w:rsid w:val="4DB3029F"/>
    <w:rsid w:val="4DBC0D1B"/>
    <w:rsid w:val="4DC035C0"/>
    <w:rsid w:val="4DC4A653"/>
    <w:rsid w:val="4DCA30B4"/>
    <w:rsid w:val="4DD633AF"/>
    <w:rsid w:val="4DF8F65D"/>
    <w:rsid w:val="4E05FAE6"/>
    <w:rsid w:val="4E19E9B9"/>
    <w:rsid w:val="4E297E0E"/>
    <w:rsid w:val="4E2A07AE"/>
    <w:rsid w:val="4E4DA3B6"/>
    <w:rsid w:val="4E72C6A2"/>
    <w:rsid w:val="4E893A21"/>
    <w:rsid w:val="4E8C3A81"/>
    <w:rsid w:val="4E8E406A"/>
    <w:rsid w:val="4E905F36"/>
    <w:rsid w:val="4EB5CFD5"/>
    <w:rsid w:val="4EBBA293"/>
    <w:rsid w:val="4EC4F122"/>
    <w:rsid w:val="4EE6D067"/>
    <w:rsid w:val="4F012C81"/>
    <w:rsid w:val="4F1FF80E"/>
    <w:rsid w:val="4F388663"/>
    <w:rsid w:val="4F4A7571"/>
    <w:rsid w:val="4F6510F9"/>
    <w:rsid w:val="4F902793"/>
    <w:rsid w:val="4F92278A"/>
    <w:rsid w:val="4FC5B815"/>
    <w:rsid w:val="4FD1AC56"/>
    <w:rsid w:val="4FD8D5B7"/>
    <w:rsid w:val="4FE8E578"/>
    <w:rsid w:val="4FF64684"/>
    <w:rsid w:val="500B33A5"/>
    <w:rsid w:val="5031CB80"/>
    <w:rsid w:val="503637B0"/>
    <w:rsid w:val="503CAA7F"/>
    <w:rsid w:val="504D07C6"/>
    <w:rsid w:val="504D0865"/>
    <w:rsid w:val="5078151A"/>
    <w:rsid w:val="5083EF29"/>
    <w:rsid w:val="50926091"/>
    <w:rsid w:val="50981920"/>
    <w:rsid w:val="50AB9234"/>
    <w:rsid w:val="50C83458"/>
    <w:rsid w:val="50D5C297"/>
    <w:rsid w:val="5118E843"/>
    <w:rsid w:val="512AE68C"/>
    <w:rsid w:val="5139B87E"/>
    <w:rsid w:val="514A8724"/>
    <w:rsid w:val="5153BA70"/>
    <w:rsid w:val="516727B6"/>
    <w:rsid w:val="5177C62C"/>
    <w:rsid w:val="51977E0F"/>
    <w:rsid w:val="51A62EB8"/>
    <w:rsid w:val="51B4219E"/>
    <w:rsid w:val="51B5E2C1"/>
    <w:rsid w:val="51B60DD9"/>
    <w:rsid w:val="51D21425"/>
    <w:rsid w:val="5209BE31"/>
    <w:rsid w:val="5217CCAE"/>
    <w:rsid w:val="524ED5E3"/>
    <w:rsid w:val="527C77BF"/>
    <w:rsid w:val="527F02D2"/>
    <w:rsid w:val="5280ED7B"/>
    <w:rsid w:val="52A41070"/>
    <w:rsid w:val="52B6E1DB"/>
    <w:rsid w:val="52CA3EE8"/>
    <w:rsid w:val="52F456C2"/>
    <w:rsid w:val="52F4A13A"/>
    <w:rsid w:val="53104240"/>
    <w:rsid w:val="5316F08C"/>
    <w:rsid w:val="5324A679"/>
    <w:rsid w:val="532F3B59"/>
    <w:rsid w:val="53388E32"/>
    <w:rsid w:val="53496855"/>
    <w:rsid w:val="53BD98FE"/>
    <w:rsid w:val="53C4D452"/>
    <w:rsid w:val="53CDDB0A"/>
    <w:rsid w:val="53ED181B"/>
    <w:rsid w:val="5403629D"/>
    <w:rsid w:val="54097833"/>
    <w:rsid w:val="54135E21"/>
    <w:rsid w:val="541DA211"/>
    <w:rsid w:val="542139FF"/>
    <w:rsid w:val="5426B552"/>
    <w:rsid w:val="544D34B8"/>
    <w:rsid w:val="548042D6"/>
    <w:rsid w:val="548463EF"/>
    <w:rsid w:val="548C36ED"/>
    <w:rsid w:val="549B0665"/>
    <w:rsid w:val="54A6B076"/>
    <w:rsid w:val="54D71A5C"/>
    <w:rsid w:val="55046CEE"/>
    <w:rsid w:val="55053EA5"/>
    <w:rsid w:val="5506A3E4"/>
    <w:rsid w:val="5514177F"/>
    <w:rsid w:val="5525C991"/>
    <w:rsid w:val="552C2000"/>
    <w:rsid w:val="55343005"/>
    <w:rsid w:val="553867BE"/>
    <w:rsid w:val="554B1EF5"/>
    <w:rsid w:val="555E2DF3"/>
    <w:rsid w:val="55654F71"/>
    <w:rsid w:val="5566429E"/>
    <w:rsid w:val="5574EB61"/>
    <w:rsid w:val="5587FB87"/>
    <w:rsid w:val="558C360B"/>
    <w:rsid w:val="55993E55"/>
    <w:rsid w:val="55AA502F"/>
    <w:rsid w:val="55ABF0FF"/>
    <w:rsid w:val="55BC0443"/>
    <w:rsid w:val="55CDC781"/>
    <w:rsid w:val="55CF70BD"/>
    <w:rsid w:val="55D66047"/>
    <w:rsid w:val="55E7BB47"/>
    <w:rsid w:val="5621F116"/>
    <w:rsid w:val="562B585B"/>
    <w:rsid w:val="563BD8F2"/>
    <w:rsid w:val="56890B6E"/>
    <w:rsid w:val="56933E78"/>
    <w:rsid w:val="569C5DA0"/>
    <w:rsid w:val="56C4661E"/>
    <w:rsid w:val="56D6A6B6"/>
    <w:rsid w:val="570B306B"/>
    <w:rsid w:val="570F8997"/>
    <w:rsid w:val="57222C94"/>
    <w:rsid w:val="573A0631"/>
    <w:rsid w:val="576EE88D"/>
    <w:rsid w:val="576F3C8E"/>
    <w:rsid w:val="57744EC1"/>
    <w:rsid w:val="5784A0BD"/>
    <w:rsid w:val="578A90D7"/>
    <w:rsid w:val="5799D16E"/>
    <w:rsid w:val="58030DFC"/>
    <w:rsid w:val="5805485F"/>
    <w:rsid w:val="580EEAAC"/>
    <w:rsid w:val="58519979"/>
    <w:rsid w:val="58642F4E"/>
    <w:rsid w:val="586B1052"/>
    <w:rsid w:val="58925F6D"/>
    <w:rsid w:val="58A29876"/>
    <w:rsid w:val="58CC9F24"/>
    <w:rsid w:val="58F8EFE5"/>
    <w:rsid w:val="58FA310D"/>
    <w:rsid w:val="58FE5282"/>
    <w:rsid w:val="5963E7A4"/>
    <w:rsid w:val="59745758"/>
    <w:rsid w:val="5981AEA9"/>
    <w:rsid w:val="5A044B35"/>
    <w:rsid w:val="5A0D378C"/>
    <w:rsid w:val="5A175F32"/>
    <w:rsid w:val="5A1921BB"/>
    <w:rsid w:val="5A1B16E8"/>
    <w:rsid w:val="5A22E5B0"/>
    <w:rsid w:val="5A2439ED"/>
    <w:rsid w:val="5A4B8DF6"/>
    <w:rsid w:val="5A658FEB"/>
    <w:rsid w:val="5A85DD9D"/>
    <w:rsid w:val="5A8D1623"/>
    <w:rsid w:val="5A9AEF74"/>
    <w:rsid w:val="5AAF8513"/>
    <w:rsid w:val="5AEF1420"/>
    <w:rsid w:val="5AFF7358"/>
    <w:rsid w:val="5B535314"/>
    <w:rsid w:val="5B6A15F1"/>
    <w:rsid w:val="5B6F437B"/>
    <w:rsid w:val="5B7CBC2B"/>
    <w:rsid w:val="5B88DCA9"/>
    <w:rsid w:val="5B89F042"/>
    <w:rsid w:val="5B8FD8A8"/>
    <w:rsid w:val="5B98174B"/>
    <w:rsid w:val="5BA1CFF0"/>
    <w:rsid w:val="5BC046C1"/>
    <w:rsid w:val="5C152057"/>
    <w:rsid w:val="5C1F077E"/>
    <w:rsid w:val="5C3DEE49"/>
    <w:rsid w:val="5C4A17F9"/>
    <w:rsid w:val="5C52FA84"/>
    <w:rsid w:val="5C65E8A9"/>
    <w:rsid w:val="5C7D8C80"/>
    <w:rsid w:val="5C8074DA"/>
    <w:rsid w:val="5CA44A47"/>
    <w:rsid w:val="5CA66146"/>
    <w:rsid w:val="5CB3071A"/>
    <w:rsid w:val="5CC3703A"/>
    <w:rsid w:val="5CF51C22"/>
    <w:rsid w:val="5CFA78A3"/>
    <w:rsid w:val="5D04236D"/>
    <w:rsid w:val="5D23C323"/>
    <w:rsid w:val="5D255DD4"/>
    <w:rsid w:val="5D44D057"/>
    <w:rsid w:val="5D978461"/>
    <w:rsid w:val="5DA68422"/>
    <w:rsid w:val="5DABD84D"/>
    <w:rsid w:val="5DD12D3C"/>
    <w:rsid w:val="5DE5FCDA"/>
    <w:rsid w:val="5E1F86B1"/>
    <w:rsid w:val="5E2B9DFF"/>
    <w:rsid w:val="5E2CDECE"/>
    <w:rsid w:val="5E4D66C2"/>
    <w:rsid w:val="5E62CE02"/>
    <w:rsid w:val="5E63A789"/>
    <w:rsid w:val="5E63F81D"/>
    <w:rsid w:val="5E6F85CE"/>
    <w:rsid w:val="5E75D77B"/>
    <w:rsid w:val="5E7E117B"/>
    <w:rsid w:val="5E9C5039"/>
    <w:rsid w:val="5EB097B3"/>
    <w:rsid w:val="5EB2066A"/>
    <w:rsid w:val="5ECD9379"/>
    <w:rsid w:val="5ED7AA63"/>
    <w:rsid w:val="5EE51D8E"/>
    <w:rsid w:val="5EE932C0"/>
    <w:rsid w:val="5EF44381"/>
    <w:rsid w:val="5EFC6C3C"/>
    <w:rsid w:val="5F07C194"/>
    <w:rsid w:val="5F0F0B70"/>
    <w:rsid w:val="5F330094"/>
    <w:rsid w:val="5F4CCA1F"/>
    <w:rsid w:val="5F4EF8DB"/>
    <w:rsid w:val="5F72A8F3"/>
    <w:rsid w:val="5F8381D8"/>
    <w:rsid w:val="5F8979EB"/>
    <w:rsid w:val="5F90D3FD"/>
    <w:rsid w:val="5FAFAFFE"/>
    <w:rsid w:val="5FE1EF5D"/>
    <w:rsid w:val="5FFEAA66"/>
    <w:rsid w:val="5FFF95DF"/>
    <w:rsid w:val="601AD724"/>
    <w:rsid w:val="604A0C3E"/>
    <w:rsid w:val="606B48D1"/>
    <w:rsid w:val="60923CBD"/>
    <w:rsid w:val="60A54328"/>
    <w:rsid w:val="60B3091E"/>
    <w:rsid w:val="60C046DA"/>
    <w:rsid w:val="60D940F3"/>
    <w:rsid w:val="60E77859"/>
    <w:rsid w:val="60F76AF3"/>
    <w:rsid w:val="60F8C108"/>
    <w:rsid w:val="6105BD9A"/>
    <w:rsid w:val="610C4946"/>
    <w:rsid w:val="611A321A"/>
    <w:rsid w:val="61347BA3"/>
    <w:rsid w:val="615891F4"/>
    <w:rsid w:val="616E4895"/>
    <w:rsid w:val="61DC733F"/>
    <w:rsid w:val="61F3ECF4"/>
    <w:rsid w:val="61FF1F98"/>
    <w:rsid w:val="62266D7D"/>
    <w:rsid w:val="62280E23"/>
    <w:rsid w:val="622CA7B5"/>
    <w:rsid w:val="62723DB7"/>
    <w:rsid w:val="627682EC"/>
    <w:rsid w:val="627E589C"/>
    <w:rsid w:val="6297898F"/>
    <w:rsid w:val="62C67A50"/>
    <w:rsid w:val="62CBBF97"/>
    <w:rsid w:val="62E27DA4"/>
    <w:rsid w:val="62EE63F6"/>
    <w:rsid w:val="62F30C27"/>
    <w:rsid w:val="630697A5"/>
    <w:rsid w:val="63140FE3"/>
    <w:rsid w:val="633AE1E7"/>
    <w:rsid w:val="636BE7A5"/>
    <w:rsid w:val="6392EA5F"/>
    <w:rsid w:val="63C1A5F6"/>
    <w:rsid w:val="63E25C2C"/>
    <w:rsid w:val="640F95DE"/>
    <w:rsid w:val="6445EE1C"/>
    <w:rsid w:val="64848660"/>
    <w:rsid w:val="64AA2AF5"/>
    <w:rsid w:val="64B3A320"/>
    <w:rsid w:val="64CF704D"/>
    <w:rsid w:val="64EEBD94"/>
    <w:rsid w:val="64F2059E"/>
    <w:rsid w:val="65196FE3"/>
    <w:rsid w:val="65198906"/>
    <w:rsid w:val="651D17EE"/>
    <w:rsid w:val="6530161A"/>
    <w:rsid w:val="656542BE"/>
    <w:rsid w:val="656C0340"/>
    <w:rsid w:val="6572297C"/>
    <w:rsid w:val="6574D64A"/>
    <w:rsid w:val="657E6F38"/>
    <w:rsid w:val="65952456"/>
    <w:rsid w:val="659FD527"/>
    <w:rsid w:val="65B4087D"/>
    <w:rsid w:val="65BCB61C"/>
    <w:rsid w:val="65C8AB3F"/>
    <w:rsid w:val="65E16349"/>
    <w:rsid w:val="65EA3BC2"/>
    <w:rsid w:val="661217BD"/>
    <w:rsid w:val="66328D63"/>
    <w:rsid w:val="6662B981"/>
    <w:rsid w:val="666FC025"/>
    <w:rsid w:val="668197B6"/>
    <w:rsid w:val="669C1B0E"/>
    <w:rsid w:val="669DB443"/>
    <w:rsid w:val="66C77687"/>
    <w:rsid w:val="66D0BE85"/>
    <w:rsid w:val="66D92DAC"/>
    <w:rsid w:val="66DBF641"/>
    <w:rsid w:val="66DDA166"/>
    <w:rsid w:val="66EEECFC"/>
    <w:rsid w:val="66F7F3F7"/>
    <w:rsid w:val="67063DAC"/>
    <w:rsid w:val="671AF6AF"/>
    <w:rsid w:val="671BC91C"/>
    <w:rsid w:val="67366824"/>
    <w:rsid w:val="673833E2"/>
    <w:rsid w:val="6745F5A2"/>
    <w:rsid w:val="675BF258"/>
    <w:rsid w:val="67641E24"/>
    <w:rsid w:val="677D975B"/>
    <w:rsid w:val="6796A8AE"/>
    <w:rsid w:val="67A24E00"/>
    <w:rsid w:val="67A94D53"/>
    <w:rsid w:val="67ADB38E"/>
    <w:rsid w:val="67BE6723"/>
    <w:rsid w:val="67BE8DDB"/>
    <w:rsid w:val="67E0A034"/>
    <w:rsid w:val="67F4D2D2"/>
    <w:rsid w:val="680D847A"/>
    <w:rsid w:val="6812D918"/>
    <w:rsid w:val="6819B0F8"/>
    <w:rsid w:val="6828BBF3"/>
    <w:rsid w:val="68375265"/>
    <w:rsid w:val="684766B5"/>
    <w:rsid w:val="684CCE2A"/>
    <w:rsid w:val="68519B0E"/>
    <w:rsid w:val="6860C3E5"/>
    <w:rsid w:val="6860F617"/>
    <w:rsid w:val="6873E739"/>
    <w:rsid w:val="689F2B1F"/>
    <w:rsid w:val="68F01D3C"/>
    <w:rsid w:val="68FC0308"/>
    <w:rsid w:val="690504EE"/>
    <w:rsid w:val="6932AAE7"/>
    <w:rsid w:val="69343D16"/>
    <w:rsid w:val="696AAE4A"/>
    <w:rsid w:val="6972ECC3"/>
    <w:rsid w:val="6975333A"/>
    <w:rsid w:val="697D32B5"/>
    <w:rsid w:val="6989F030"/>
    <w:rsid w:val="699CCEBE"/>
    <w:rsid w:val="69B28532"/>
    <w:rsid w:val="69CB2CD9"/>
    <w:rsid w:val="69CC3191"/>
    <w:rsid w:val="69D13BCA"/>
    <w:rsid w:val="69D97789"/>
    <w:rsid w:val="69FAF360"/>
    <w:rsid w:val="6A0AF6C7"/>
    <w:rsid w:val="6A274C71"/>
    <w:rsid w:val="6A2CFBCE"/>
    <w:rsid w:val="6A4FCE88"/>
    <w:rsid w:val="6A51E28A"/>
    <w:rsid w:val="6A6D2253"/>
    <w:rsid w:val="6A6F137C"/>
    <w:rsid w:val="6AED0A76"/>
    <w:rsid w:val="6B0926ED"/>
    <w:rsid w:val="6B18C216"/>
    <w:rsid w:val="6B299A32"/>
    <w:rsid w:val="6B33164D"/>
    <w:rsid w:val="6B34E2AD"/>
    <w:rsid w:val="6B394499"/>
    <w:rsid w:val="6B573FE8"/>
    <w:rsid w:val="6B709A1B"/>
    <w:rsid w:val="6B82DE8D"/>
    <w:rsid w:val="6B92F79C"/>
    <w:rsid w:val="6B9A8E24"/>
    <w:rsid w:val="6BC591FD"/>
    <w:rsid w:val="6BCABB27"/>
    <w:rsid w:val="6BF364BC"/>
    <w:rsid w:val="6C00AA5E"/>
    <w:rsid w:val="6C00EDE3"/>
    <w:rsid w:val="6C067146"/>
    <w:rsid w:val="6C0A5FD9"/>
    <w:rsid w:val="6C35651D"/>
    <w:rsid w:val="6C35EFB0"/>
    <w:rsid w:val="6C478BC9"/>
    <w:rsid w:val="6C582166"/>
    <w:rsid w:val="6C72C0E1"/>
    <w:rsid w:val="6C99E2B3"/>
    <w:rsid w:val="6CC284BE"/>
    <w:rsid w:val="6CC6E24D"/>
    <w:rsid w:val="6CC70233"/>
    <w:rsid w:val="6CE1EE95"/>
    <w:rsid w:val="6D15509E"/>
    <w:rsid w:val="6D184B06"/>
    <w:rsid w:val="6D19CDB7"/>
    <w:rsid w:val="6D1E42AA"/>
    <w:rsid w:val="6D2263C8"/>
    <w:rsid w:val="6D367E95"/>
    <w:rsid w:val="6D46FC19"/>
    <w:rsid w:val="6D489D02"/>
    <w:rsid w:val="6D4D2945"/>
    <w:rsid w:val="6D76DF9F"/>
    <w:rsid w:val="6D8740AF"/>
    <w:rsid w:val="6D9DB900"/>
    <w:rsid w:val="6DAFD5AE"/>
    <w:rsid w:val="6DCE949C"/>
    <w:rsid w:val="6DD3EA2A"/>
    <w:rsid w:val="6DF0EC28"/>
    <w:rsid w:val="6E328366"/>
    <w:rsid w:val="6E5510BB"/>
    <w:rsid w:val="6E6BEFE7"/>
    <w:rsid w:val="6E70CE67"/>
    <w:rsid w:val="6E82E754"/>
    <w:rsid w:val="6E8BADE9"/>
    <w:rsid w:val="6EA356BF"/>
    <w:rsid w:val="6F018D3D"/>
    <w:rsid w:val="6F0FF4D6"/>
    <w:rsid w:val="6F512714"/>
    <w:rsid w:val="6F531AAC"/>
    <w:rsid w:val="6F8F1177"/>
    <w:rsid w:val="6F99D8F9"/>
    <w:rsid w:val="6FA11559"/>
    <w:rsid w:val="6FBFDC54"/>
    <w:rsid w:val="6FD48F1F"/>
    <w:rsid w:val="6FF673A6"/>
    <w:rsid w:val="702B1F2A"/>
    <w:rsid w:val="702FEFBE"/>
    <w:rsid w:val="7048600D"/>
    <w:rsid w:val="704BBFA2"/>
    <w:rsid w:val="709E2AB5"/>
    <w:rsid w:val="70A00C15"/>
    <w:rsid w:val="70AC5A38"/>
    <w:rsid w:val="70C00ECC"/>
    <w:rsid w:val="70E23C60"/>
    <w:rsid w:val="71217C6B"/>
    <w:rsid w:val="71309602"/>
    <w:rsid w:val="713682DE"/>
    <w:rsid w:val="7145947E"/>
    <w:rsid w:val="719B4957"/>
    <w:rsid w:val="719D1F56"/>
    <w:rsid w:val="71AA18EB"/>
    <w:rsid w:val="71B57F29"/>
    <w:rsid w:val="71B96391"/>
    <w:rsid w:val="71C58BC8"/>
    <w:rsid w:val="71F95A88"/>
    <w:rsid w:val="7215CBC9"/>
    <w:rsid w:val="7231CEAB"/>
    <w:rsid w:val="7237DF2E"/>
    <w:rsid w:val="725BA24A"/>
    <w:rsid w:val="7270E424"/>
    <w:rsid w:val="72FFDBB3"/>
    <w:rsid w:val="731E470A"/>
    <w:rsid w:val="732EF4AD"/>
    <w:rsid w:val="7340CEDF"/>
    <w:rsid w:val="7344F213"/>
    <w:rsid w:val="7360A190"/>
    <w:rsid w:val="736B32AD"/>
    <w:rsid w:val="736B9C96"/>
    <w:rsid w:val="73956948"/>
    <w:rsid w:val="73A4DD8A"/>
    <w:rsid w:val="73BBBC73"/>
    <w:rsid w:val="73FE6426"/>
    <w:rsid w:val="74405B92"/>
    <w:rsid w:val="74615BA1"/>
    <w:rsid w:val="74625BC9"/>
    <w:rsid w:val="7472B8E6"/>
    <w:rsid w:val="74A34BCE"/>
    <w:rsid w:val="74B72701"/>
    <w:rsid w:val="74BC5E14"/>
    <w:rsid w:val="74D04950"/>
    <w:rsid w:val="74DED193"/>
    <w:rsid w:val="74EE89A3"/>
    <w:rsid w:val="7524ECA8"/>
    <w:rsid w:val="7535EB68"/>
    <w:rsid w:val="7553E459"/>
    <w:rsid w:val="755B9E6F"/>
    <w:rsid w:val="7561F62D"/>
    <w:rsid w:val="7577C7DC"/>
    <w:rsid w:val="757C0FDF"/>
    <w:rsid w:val="7585936B"/>
    <w:rsid w:val="75A814EF"/>
    <w:rsid w:val="75B8BB78"/>
    <w:rsid w:val="75BF1A90"/>
    <w:rsid w:val="75C50A4B"/>
    <w:rsid w:val="75D38DAB"/>
    <w:rsid w:val="75E377EF"/>
    <w:rsid w:val="75E3FED5"/>
    <w:rsid w:val="75E558F6"/>
    <w:rsid w:val="75EC15F7"/>
    <w:rsid w:val="760BF2FD"/>
    <w:rsid w:val="760C2CA8"/>
    <w:rsid w:val="7612CCEA"/>
    <w:rsid w:val="7629B262"/>
    <w:rsid w:val="762D5789"/>
    <w:rsid w:val="76427926"/>
    <w:rsid w:val="766D2917"/>
    <w:rsid w:val="767BD1C1"/>
    <w:rsid w:val="769EDDF4"/>
    <w:rsid w:val="76AA18BE"/>
    <w:rsid w:val="76CF328E"/>
    <w:rsid w:val="76E1E7C3"/>
    <w:rsid w:val="76E2AC41"/>
    <w:rsid w:val="76F0E109"/>
    <w:rsid w:val="771F2066"/>
    <w:rsid w:val="773351F8"/>
    <w:rsid w:val="773B4CFA"/>
    <w:rsid w:val="776B04F3"/>
    <w:rsid w:val="777289F3"/>
    <w:rsid w:val="777A86B4"/>
    <w:rsid w:val="77896477"/>
    <w:rsid w:val="778ABC0D"/>
    <w:rsid w:val="778D54F8"/>
    <w:rsid w:val="779FCFD2"/>
    <w:rsid w:val="77A19571"/>
    <w:rsid w:val="77A98619"/>
    <w:rsid w:val="77AC8259"/>
    <w:rsid w:val="77CF6682"/>
    <w:rsid w:val="77D01B3A"/>
    <w:rsid w:val="77F1F946"/>
    <w:rsid w:val="781C5B0F"/>
    <w:rsid w:val="781D06B0"/>
    <w:rsid w:val="7837B03A"/>
    <w:rsid w:val="783ACAE2"/>
    <w:rsid w:val="785CF68A"/>
    <w:rsid w:val="7875EE31"/>
    <w:rsid w:val="788A2A5B"/>
    <w:rsid w:val="78B7544C"/>
    <w:rsid w:val="78DA38F6"/>
    <w:rsid w:val="78E6D353"/>
    <w:rsid w:val="78FE6E24"/>
    <w:rsid w:val="79033E48"/>
    <w:rsid w:val="792D115C"/>
    <w:rsid w:val="7932D2F1"/>
    <w:rsid w:val="79381B46"/>
    <w:rsid w:val="793F092A"/>
    <w:rsid w:val="795AE41B"/>
    <w:rsid w:val="796B3F79"/>
    <w:rsid w:val="79759420"/>
    <w:rsid w:val="79A802E3"/>
    <w:rsid w:val="79B20C0B"/>
    <w:rsid w:val="79DA1539"/>
    <w:rsid w:val="79DC2226"/>
    <w:rsid w:val="7A0CBC66"/>
    <w:rsid w:val="7A2D8DAD"/>
    <w:rsid w:val="7A4931DA"/>
    <w:rsid w:val="7A53C21A"/>
    <w:rsid w:val="7A54BE7C"/>
    <w:rsid w:val="7A59EE32"/>
    <w:rsid w:val="7A669D65"/>
    <w:rsid w:val="7A7B1D7B"/>
    <w:rsid w:val="7A9CA8A3"/>
    <w:rsid w:val="7AABFA20"/>
    <w:rsid w:val="7AB7EF43"/>
    <w:rsid w:val="7AD22399"/>
    <w:rsid w:val="7AD2A272"/>
    <w:rsid w:val="7AEF9423"/>
    <w:rsid w:val="7AF70E05"/>
    <w:rsid w:val="7B023F9D"/>
    <w:rsid w:val="7B1B5C53"/>
    <w:rsid w:val="7B23B1FE"/>
    <w:rsid w:val="7B3C04F4"/>
    <w:rsid w:val="7B53A6DA"/>
    <w:rsid w:val="7B543A1C"/>
    <w:rsid w:val="7B65D3A8"/>
    <w:rsid w:val="7B669274"/>
    <w:rsid w:val="7B6FE417"/>
    <w:rsid w:val="7B7B2EFE"/>
    <w:rsid w:val="7B9875A9"/>
    <w:rsid w:val="7B9D5C0C"/>
    <w:rsid w:val="7BA53529"/>
    <w:rsid w:val="7BB063C6"/>
    <w:rsid w:val="7BBC68C3"/>
    <w:rsid w:val="7BC34726"/>
    <w:rsid w:val="7BD2A123"/>
    <w:rsid w:val="7BD46124"/>
    <w:rsid w:val="7BDD0957"/>
    <w:rsid w:val="7BF2DAD9"/>
    <w:rsid w:val="7BF927A3"/>
    <w:rsid w:val="7C191C98"/>
    <w:rsid w:val="7C30CCF0"/>
    <w:rsid w:val="7C335FA3"/>
    <w:rsid w:val="7C447B4C"/>
    <w:rsid w:val="7C45B9D6"/>
    <w:rsid w:val="7C488AA2"/>
    <w:rsid w:val="7C4BD3E5"/>
    <w:rsid w:val="7C4D1051"/>
    <w:rsid w:val="7C5B6EC6"/>
    <w:rsid w:val="7C7D32A3"/>
    <w:rsid w:val="7CA33C4C"/>
    <w:rsid w:val="7CAABB9A"/>
    <w:rsid w:val="7CB18FA3"/>
    <w:rsid w:val="7CC8D4F2"/>
    <w:rsid w:val="7CD5815D"/>
    <w:rsid w:val="7CDD23C9"/>
    <w:rsid w:val="7CF9AAB2"/>
    <w:rsid w:val="7CFD8F01"/>
    <w:rsid w:val="7D029507"/>
    <w:rsid w:val="7D0C417F"/>
    <w:rsid w:val="7D3DE3B4"/>
    <w:rsid w:val="7D405AE1"/>
    <w:rsid w:val="7D75C6F3"/>
    <w:rsid w:val="7D7BCE44"/>
    <w:rsid w:val="7D7C321F"/>
    <w:rsid w:val="7D916B39"/>
    <w:rsid w:val="7DBA8238"/>
    <w:rsid w:val="7DC5A495"/>
    <w:rsid w:val="7DCBC0BF"/>
    <w:rsid w:val="7DE53E99"/>
    <w:rsid w:val="7DFEDCC9"/>
    <w:rsid w:val="7E250E36"/>
    <w:rsid w:val="7E35B0A2"/>
    <w:rsid w:val="7E35EE91"/>
    <w:rsid w:val="7E3E12A9"/>
    <w:rsid w:val="7E3FACBB"/>
    <w:rsid w:val="7E401321"/>
    <w:rsid w:val="7E43B213"/>
    <w:rsid w:val="7E494E6C"/>
    <w:rsid w:val="7E5BA813"/>
    <w:rsid w:val="7E99CAE0"/>
    <w:rsid w:val="7EC054CA"/>
    <w:rsid w:val="7EC58F60"/>
    <w:rsid w:val="7EC83F53"/>
    <w:rsid w:val="7ED8BF3D"/>
    <w:rsid w:val="7F18069D"/>
    <w:rsid w:val="7F4ADA20"/>
    <w:rsid w:val="7F4EE381"/>
    <w:rsid w:val="7F559AE7"/>
    <w:rsid w:val="7F7503EF"/>
    <w:rsid w:val="7F7D4ED8"/>
    <w:rsid w:val="7F89F790"/>
    <w:rsid w:val="7F913D0C"/>
    <w:rsid w:val="7F9D78B4"/>
    <w:rsid w:val="7FA3ECB9"/>
    <w:rsid w:val="7FAB9AE8"/>
    <w:rsid w:val="7FAFA7B3"/>
    <w:rsid w:val="7FD74A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DF2C1D"/>
  <w15:chartTrackingRefBased/>
  <w15:docId w15:val="{32528006-1AEC-4C93-AD55-5F354475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6F5"/>
    <w:pPr>
      <w:spacing w:line="300" w:lineRule="atLeast"/>
    </w:pPr>
    <w:rPr>
      <w:rFonts w:ascii="Arial" w:hAnsi="Arial"/>
      <w:sz w:val="22"/>
      <w:szCs w:val="24"/>
      <w:lang w:eastAsia="en-US"/>
    </w:rPr>
  </w:style>
  <w:style w:type="paragraph" w:styleId="Heading1">
    <w:name w:val="heading 1"/>
    <w:next w:val="Normal"/>
    <w:link w:val="Heading1Char"/>
    <w:qFormat/>
    <w:rsid w:val="00776FE2"/>
    <w:pPr>
      <w:keepNext/>
      <w:keepLines/>
      <w:spacing w:before="480" w:after="120" w:line="300" w:lineRule="atLeast"/>
      <w:outlineLvl w:val="0"/>
    </w:pPr>
    <w:rPr>
      <w:rFonts w:ascii="Arial" w:hAnsi="Arial" w:cs="Arial"/>
      <w:b/>
      <w:bCs/>
      <w:color w:val="971A4B"/>
      <w:kern w:val="32"/>
      <w:sz w:val="26"/>
      <w:szCs w:val="32"/>
    </w:rPr>
  </w:style>
  <w:style w:type="paragraph" w:styleId="Heading2">
    <w:name w:val="heading 2"/>
    <w:next w:val="Normal"/>
    <w:qFormat/>
    <w:rsid w:val="00A70C70"/>
    <w:pPr>
      <w:keepNext/>
      <w:spacing w:before="360" w:after="120" w:line="300" w:lineRule="atLeast"/>
      <w:outlineLvl w:val="1"/>
    </w:pPr>
    <w:rPr>
      <w:rFonts w:ascii="Arial" w:hAnsi="Arial" w:cs="Arial"/>
      <w:b/>
      <w:bCs/>
      <w:iCs/>
      <w:color w:val="971A4B"/>
      <w:sz w:val="24"/>
      <w:szCs w:val="28"/>
    </w:rPr>
  </w:style>
  <w:style w:type="paragraph" w:styleId="Heading3">
    <w:name w:val="heading 3"/>
    <w:next w:val="Normal"/>
    <w:qFormat/>
    <w:rsid w:val="00A13506"/>
    <w:pPr>
      <w:keepNext/>
      <w:spacing w:before="240" w:after="120" w:line="300" w:lineRule="atLeast"/>
      <w:outlineLvl w:val="2"/>
    </w:pPr>
    <w:rPr>
      <w:rFonts w:ascii="Arial" w:hAnsi="Arial" w:cs="Arial"/>
      <w:b/>
      <w:bCs/>
      <w:sz w:val="22"/>
      <w:szCs w:val="26"/>
    </w:rPr>
  </w:style>
  <w:style w:type="paragraph" w:styleId="Heading4">
    <w:name w:val="heading 4"/>
    <w:basedOn w:val="Heading3"/>
    <w:link w:val="Heading4Char"/>
    <w:qFormat/>
    <w:rsid w:val="00237FCF"/>
    <w:pPr>
      <w:outlineLvl w:val="3"/>
    </w:pPr>
    <w:rPr>
      <w:b w:val="0"/>
      <w:i/>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Footnote Text Char Char,FN,fn,Footnote Text Char1 Char Char,Footnote Text Char Char Char Char,Char,Ca,Footnote Text Char Char Char Char Char Char,C"/>
    <w:basedOn w:val="Normal"/>
    <w:link w:val="FootnoteTextChar"/>
    <w:uiPriority w:val="99"/>
    <w:qFormat/>
    <w:rsid w:val="00A910BF"/>
    <w:pPr>
      <w:widowControl w:val="0"/>
      <w:spacing w:line="240" w:lineRule="atLeast"/>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05D76"/>
    <w:pPr>
      <w:tabs>
        <w:tab w:val="right" w:leader="dot" w:pos="9790"/>
      </w:tabs>
      <w:spacing w:before="120" w:after="60"/>
      <w:ind w:left="567"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NO,Footnotes refss,Footnote number,Footnote,4_G,Stinking Styles,Nota a pie,Style 30,Style 20"/>
    <w:uiPriority w:val="99"/>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86677D"/>
    <w:pPr>
      <w:tabs>
        <w:tab w:val="right" w:leader="dot" w:pos="9790"/>
      </w:tabs>
      <w:spacing w:before="60"/>
      <w:ind w:left="567"/>
    </w:pPr>
    <w:rPr>
      <w:noProof/>
      <w:sz w:val="20"/>
    </w:rPr>
  </w:style>
  <w:style w:type="paragraph" w:styleId="TOC3">
    <w:name w:val="toc 3"/>
    <w:basedOn w:val="Normal"/>
    <w:next w:val="Normal"/>
    <w:uiPriority w:val="39"/>
    <w:rsid w:val="0086677D"/>
    <w:pPr>
      <w:tabs>
        <w:tab w:val="right" w:leader="dot" w:pos="9790"/>
      </w:tabs>
      <w:spacing w:before="60" w:line="280" w:lineRule="atLeast"/>
      <w:ind w:left="567"/>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6B278A"/>
    <w:pPr>
      <w:spacing w:before="120" w:after="0"/>
      <w:ind w:left="567"/>
    </w:pPr>
    <w:rPr>
      <w:sz w:val="21"/>
      <w:szCs w:val="21"/>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unhideWhenUsed/>
    <w:qFormat/>
    <w:rsid w:val="00C633D0"/>
    <w:pPr>
      <w:spacing w:before="60"/>
      <w:ind w:left="720"/>
    </w:pPr>
  </w:style>
  <w:style w:type="character" w:customStyle="1" w:styleId="FootnoteTextChar">
    <w:name w:val="Footnote Text Char"/>
    <w:aliases w:val="Footnote Text Char1 Char1,Footnote Text Char Char Char1,FN Char,fn Char,Footnote Text Char1 Char Char Char,Footnote Text Char Char Char Char Char,Char Char,Ca Char,Footnote Text Char Char Char Char Char Char Char,C Char"/>
    <w:basedOn w:val="DefaultParagraphFont"/>
    <w:link w:val="FootnoteText"/>
    <w:uiPriority w:val="99"/>
    <w:rsid w:val="00A910BF"/>
    <w:rPr>
      <w:rFonts w:ascii="Arial" w:hAnsi="Arial"/>
      <w:sz w:val="18"/>
      <w:lang w:eastAsia="en-US"/>
    </w:rPr>
  </w:style>
  <w:style w:type="character" w:customStyle="1" w:styleId="Heading1Char">
    <w:name w:val="Heading 1 Char"/>
    <w:basedOn w:val="DefaultParagraphFont"/>
    <w:link w:val="Heading1"/>
    <w:rsid w:val="00776FE2"/>
    <w:rPr>
      <w:rFonts w:ascii="Arial" w:hAnsi="Arial" w:cs="Arial"/>
      <w:b/>
      <w:bCs/>
      <w:color w:val="971A4B"/>
      <w:kern w:val="32"/>
      <w:sz w:val="26"/>
      <w:szCs w:val="32"/>
    </w:rPr>
  </w:style>
  <w:style w:type="paragraph" w:styleId="BalloonText">
    <w:name w:val="Balloon Text"/>
    <w:basedOn w:val="Normal"/>
    <w:link w:val="BalloonTextChar"/>
    <w:semiHidden/>
    <w:unhideWhenUsed/>
    <w:rsid w:val="00B54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46D2"/>
    <w:rPr>
      <w:rFonts w:ascii="Segoe UI" w:hAnsi="Segoe UI" w:cs="Segoe UI"/>
      <w:sz w:val="18"/>
      <w:szCs w:val="18"/>
      <w:lang w:eastAsia="en-US"/>
    </w:rPr>
  </w:style>
  <w:style w:type="character" w:styleId="CommentReference">
    <w:name w:val="annotation reference"/>
    <w:basedOn w:val="DefaultParagraphFont"/>
    <w:uiPriority w:val="99"/>
    <w:rsid w:val="00412AA4"/>
    <w:rPr>
      <w:sz w:val="16"/>
      <w:szCs w:val="16"/>
    </w:rPr>
  </w:style>
  <w:style w:type="paragraph" w:styleId="CommentText">
    <w:name w:val="annotation text"/>
    <w:basedOn w:val="Normal"/>
    <w:link w:val="CommentTextChar"/>
    <w:uiPriority w:val="99"/>
    <w:rsid w:val="00412AA4"/>
    <w:pPr>
      <w:spacing w:line="240" w:lineRule="auto"/>
    </w:pPr>
    <w:rPr>
      <w:sz w:val="20"/>
      <w:szCs w:val="20"/>
    </w:rPr>
  </w:style>
  <w:style w:type="character" w:customStyle="1" w:styleId="CommentTextChar">
    <w:name w:val="Comment Text Char"/>
    <w:basedOn w:val="DefaultParagraphFont"/>
    <w:link w:val="CommentText"/>
    <w:uiPriority w:val="99"/>
    <w:rsid w:val="00412AA4"/>
    <w:rPr>
      <w:rFonts w:ascii="Arial" w:hAnsi="Arial"/>
      <w:lang w:eastAsia="en-US"/>
    </w:rPr>
  </w:style>
  <w:style w:type="paragraph" w:styleId="CommentSubject">
    <w:name w:val="annotation subject"/>
    <w:basedOn w:val="CommentText"/>
    <w:next w:val="CommentText"/>
    <w:link w:val="CommentSubjectChar"/>
    <w:rsid w:val="00412AA4"/>
    <w:rPr>
      <w:b/>
      <w:bCs/>
    </w:rPr>
  </w:style>
  <w:style w:type="character" w:customStyle="1" w:styleId="CommentSubjectChar">
    <w:name w:val="Comment Subject Char"/>
    <w:basedOn w:val="CommentTextChar"/>
    <w:link w:val="CommentSubject"/>
    <w:rsid w:val="00412AA4"/>
    <w:rPr>
      <w:rFonts w:ascii="Arial" w:hAnsi="Arial"/>
      <w:b/>
      <w:bCs/>
      <w:lang w:eastAsia="en-US"/>
    </w:rPr>
  </w:style>
  <w:style w:type="paragraph" w:customStyle="1" w:styleId="VLALetterText">
    <w:name w:val="VLA Letter Text"/>
    <w:uiPriority w:val="1"/>
    <w:qFormat/>
    <w:rsid w:val="00CB76AA"/>
    <w:pPr>
      <w:spacing w:after="120" w:line="300" w:lineRule="atLeast"/>
    </w:pPr>
    <w:rPr>
      <w:rFonts w:ascii="Arial" w:hAnsi="Arial"/>
      <w:sz w:val="22"/>
      <w:szCs w:val="24"/>
      <w:lang w:eastAsia="en-US"/>
    </w:rPr>
  </w:style>
  <w:style w:type="paragraph" w:customStyle="1" w:styleId="VLADocumentText">
    <w:name w:val="VLA Document Text"/>
    <w:uiPriority w:val="2"/>
    <w:qFormat/>
    <w:rsid w:val="00AD0DA7"/>
    <w:pPr>
      <w:spacing w:before="120" w:line="300" w:lineRule="atLeast"/>
    </w:pPr>
    <w:rPr>
      <w:rFonts w:ascii="Arial" w:hAnsi="Arial"/>
      <w:sz w:val="22"/>
      <w:szCs w:val="24"/>
      <w:lang w:eastAsia="en-US"/>
    </w:rPr>
  </w:style>
  <w:style w:type="paragraph" w:customStyle="1" w:styleId="Default">
    <w:name w:val="Default"/>
    <w:rsid w:val="00D927C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92B58"/>
    <w:pPr>
      <w:spacing w:before="100" w:beforeAutospacing="1" w:after="100" w:afterAutospacing="1" w:line="240" w:lineRule="auto"/>
    </w:pPr>
    <w:rPr>
      <w:rFonts w:ascii="Times New Roman" w:hAnsi="Times New Roman"/>
      <w:sz w:val="24"/>
      <w:lang w:eastAsia="en-AU"/>
    </w:rPr>
  </w:style>
  <w:style w:type="character" w:styleId="UnresolvedMention">
    <w:name w:val="Unresolved Mention"/>
    <w:basedOn w:val="DefaultParagraphFont"/>
    <w:uiPriority w:val="99"/>
    <w:semiHidden/>
    <w:unhideWhenUsed/>
    <w:rsid w:val="00A910BF"/>
    <w:rPr>
      <w:color w:val="605E5C"/>
      <w:shd w:val="clear" w:color="auto" w:fill="E1DFDD"/>
    </w:rPr>
  </w:style>
  <w:style w:type="paragraph" w:styleId="BodyText">
    <w:name w:val="Body Text"/>
    <w:basedOn w:val="Normal"/>
    <w:link w:val="BodyTextChar"/>
    <w:uiPriority w:val="1"/>
    <w:qFormat/>
    <w:rsid w:val="00A910BF"/>
    <w:pPr>
      <w:widowControl w:val="0"/>
      <w:autoSpaceDE w:val="0"/>
      <w:autoSpaceDN w:val="0"/>
      <w:spacing w:line="240" w:lineRule="auto"/>
    </w:pPr>
    <w:rPr>
      <w:rFonts w:ascii="Times New Roman" w:hAnsi="Times New Roman"/>
      <w:sz w:val="24"/>
      <w:lang w:eastAsia="en-AU" w:bidi="en-AU"/>
    </w:rPr>
  </w:style>
  <w:style w:type="character" w:customStyle="1" w:styleId="BodyTextChar">
    <w:name w:val="Body Text Char"/>
    <w:basedOn w:val="DefaultParagraphFont"/>
    <w:link w:val="BodyText"/>
    <w:uiPriority w:val="1"/>
    <w:rsid w:val="00A910BF"/>
    <w:rPr>
      <w:sz w:val="24"/>
      <w:szCs w:val="24"/>
      <w:lang w:bidi="en-AU"/>
    </w:rPr>
  </w:style>
  <w:style w:type="paragraph" w:customStyle="1" w:styleId="BodyText-List-Indent">
    <w:name w:val="Body Text - List - Indent"/>
    <w:rsid w:val="00542FDA"/>
    <w:pPr>
      <w:numPr>
        <w:numId w:val="10"/>
      </w:numPr>
      <w:spacing w:after="120"/>
    </w:pPr>
    <w:rPr>
      <w:rFonts w:ascii="Arial" w:eastAsia="Times" w:hAnsi="Arial" w:cs="Arial"/>
      <w:szCs w:val="24"/>
      <w:lang w:eastAsia="en-US"/>
    </w:rPr>
  </w:style>
  <w:style w:type="paragraph" w:customStyle="1" w:styleId="BodyText-List">
    <w:name w:val="Body Text - List"/>
    <w:rsid w:val="00542FDA"/>
    <w:pPr>
      <w:numPr>
        <w:numId w:val="11"/>
      </w:numPr>
      <w:spacing w:before="160" w:after="160" w:line="280" w:lineRule="exact"/>
    </w:pPr>
    <w:rPr>
      <w:rFonts w:ascii="Arial" w:hAnsi="Arial" w:cs="Arial"/>
      <w:szCs w:val="24"/>
      <w:lang w:eastAsia="en-US"/>
    </w:rPr>
  </w:style>
  <w:style w:type="paragraph" w:customStyle="1" w:styleId="TableText-Italics">
    <w:name w:val="Table Text - Italics"/>
    <w:rsid w:val="00542FDA"/>
    <w:pPr>
      <w:spacing w:before="60" w:after="60"/>
    </w:pPr>
    <w:rPr>
      <w:rFonts w:ascii="Arial" w:hAnsi="Arial" w:cs="Arial"/>
      <w:i/>
      <w:sz w:val="18"/>
      <w:szCs w:val="18"/>
      <w:lang w:eastAsia="en-US"/>
    </w:rPr>
  </w:style>
  <w:style w:type="character" w:customStyle="1" w:styleId="CharSectNo">
    <w:name w:val="CharSectNo"/>
    <w:basedOn w:val="DefaultParagraphFont"/>
    <w:rsid w:val="00C46420"/>
  </w:style>
  <w:style w:type="paragraph" w:styleId="Revision">
    <w:name w:val="Revision"/>
    <w:hidden/>
    <w:uiPriority w:val="99"/>
    <w:semiHidden/>
    <w:rsid w:val="002571B3"/>
    <w:rPr>
      <w:rFonts w:ascii="Arial" w:hAnsi="Arial"/>
      <w:sz w:val="22"/>
      <w:szCs w:val="24"/>
      <w:lang w:eastAsia="en-US"/>
    </w:rPr>
  </w:style>
  <w:style w:type="paragraph" w:customStyle="1" w:styleId="Bullet1bCharCharCharCharCharChar">
    <w:name w:val="Bullet1b Char Char Char Char Char Char"/>
    <w:basedOn w:val="Normal"/>
    <w:rsid w:val="00EA13E9"/>
    <w:pPr>
      <w:spacing w:before="180" w:after="180"/>
    </w:pPr>
    <w:rPr>
      <w:b/>
      <w:caps/>
    </w:rPr>
  </w:style>
  <w:style w:type="paragraph" w:customStyle="1" w:styleId="Bullet1c">
    <w:name w:val="Bullet1c"/>
    <w:basedOn w:val="Normal"/>
    <w:rsid w:val="00EA13E9"/>
    <w:pPr>
      <w:numPr>
        <w:numId w:val="12"/>
      </w:numPr>
      <w:spacing w:before="180" w:line="240" w:lineRule="auto"/>
    </w:pPr>
    <w:rPr>
      <w:rFonts w:ascii="Times New Roman" w:hAnsi="Times New Roman"/>
      <w:sz w:val="24"/>
      <w:lang w:eastAsia="en-AU"/>
    </w:rPr>
  </w:style>
  <w:style w:type="character" w:customStyle="1" w:styleId="Heading4Char">
    <w:name w:val="Heading 4 Char"/>
    <w:basedOn w:val="DefaultParagraphFont"/>
    <w:link w:val="Heading4"/>
    <w:rsid w:val="00237FCF"/>
    <w:rPr>
      <w:rFonts w:ascii="Arial" w:hAnsi="Arial" w:cs="Arial"/>
      <w:bCs/>
      <w:i/>
      <w:sz w:val="22"/>
      <w:szCs w:val="24"/>
    </w:rPr>
  </w:style>
  <w:style w:type="paragraph" w:styleId="NoSpacing">
    <w:name w:val="No Spacing"/>
    <w:link w:val="NoSpacingChar"/>
    <w:uiPriority w:val="1"/>
    <w:qFormat/>
    <w:rsid w:val="002A757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757B"/>
    <w:rPr>
      <w:rFonts w:asciiTheme="minorHAnsi" w:eastAsiaTheme="minorEastAsia" w:hAnsiTheme="minorHAnsi" w:cstheme="minorBidi"/>
      <w:sz w:val="22"/>
      <w:szCs w:val="22"/>
      <w:lang w:val="en-US" w:eastAsia="en-US"/>
    </w:rPr>
  </w:style>
  <w:style w:type="paragraph" w:customStyle="1" w:styleId="VLAclientexample">
    <w:name w:val="VLA client example"/>
    <w:basedOn w:val="Contents"/>
    <w:qFormat/>
    <w:rsid w:val="00213FDB"/>
    <w:pPr>
      <w:keepLines/>
      <w:spacing w:before="80" w:after="0"/>
    </w:pPr>
    <w:rPr>
      <w:b w:val="0"/>
      <w:sz w:val="21"/>
      <w:szCs w:val="20"/>
    </w:rPr>
  </w:style>
  <w:style w:type="paragraph" w:customStyle="1" w:styleId="Quotetext">
    <w:name w:val="Quote text"/>
    <w:next w:val="BodyText"/>
    <w:link w:val="QuotetextChar"/>
    <w:rsid w:val="0019480A"/>
    <w:pPr>
      <w:spacing w:before="120" w:after="120"/>
      <w:ind w:left="1440" w:right="646"/>
    </w:pPr>
    <w:rPr>
      <w:rFonts w:ascii="Arial" w:eastAsia="Times" w:hAnsi="Arial" w:cs="Arial"/>
      <w:sz w:val="18"/>
      <w:szCs w:val="24"/>
      <w:lang w:eastAsia="en-US"/>
    </w:rPr>
  </w:style>
  <w:style w:type="character" w:customStyle="1" w:styleId="QuotetextChar">
    <w:name w:val="Quote text Char"/>
    <w:link w:val="Quotetext"/>
    <w:rsid w:val="0019480A"/>
    <w:rPr>
      <w:rFonts w:ascii="Arial" w:eastAsia="Times" w:hAnsi="Arial" w:cs="Arial"/>
      <w:sz w:val="18"/>
      <w:szCs w:val="24"/>
      <w:lang w:eastAsia="en-US"/>
    </w:rPr>
  </w:style>
  <w:style w:type="character" w:customStyle="1" w:styleId="FootnoteTextChar2">
    <w:name w:val="Footnote Text Char2"/>
    <w:aliases w:val="Footnote Text Char Char1,Footnote Text Char1 Char,Footnote Text Char Char Char"/>
    <w:rsid w:val="0019480A"/>
    <w:rPr>
      <w:rFonts w:ascii="Arial" w:hAnsi="Arial" w:cs="Arial"/>
      <w:sz w:val="16"/>
    </w:rPr>
  </w:style>
  <w:style w:type="paragraph" w:styleId="TOCHeading">
    <w:name w:val="TOC Heading"/>
    <w:basedOn w:val="Heading1"/>
    <w:next w:val="Normal"/>
    <w:uiPriority w:val="39"/>
    <w:unhideWhenUsed/>
    <w:qFormat/>
    <w:rsid w:val="003D4AF1"/>
    <w:pPr>
      <w:spacing w:before="240"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VLAdotpoint">
    <w:name w:val="VLA dot point"/>
    <w:basedOn w:val="VLADocumentText"/>
    <w:rsid w:val="006A7381"/>
    <w:pPr>
      <w:numPr>
        <w:numId w:val="42"/>
      </w:numPr>
      <w:spacing w:before="60"/>
    </w:pPr>
  </w:style>
  <w:style w:type="paragraph" w:customStyle="1" w:styleId="VLAclientexampletitle">
    <w:name w:val="VLA client example title"/>
    <w:basedOn w:val="VLAclientexample"/>
    <w:qFormat/>
    <w:rsid w:val="00DA73E5"/>
    <w:pPr>
      <w:keepNext/>
      <w:spacing w:after="120"/>
    </w:pPr>
    <w:rPr>
      <w:rFonts w:eastAsia="Arial"/>
      <w:b/>
    </w:rPr>
  </w:style>
  <w:style w:type="paragraph" w:customStyle="1" w:styleId="CourtNormal">
    <w:name w:val="CourtNormal"/>
    <w:qFormat/>
    <w:rsid w:val="00D22970"/>
    <w:pPr>
      <w:spacing w:after="120" w:line="480" w:lineRule="auto"/>
    </w:pPr>
    <w:rPr>
      <w:rFonts w:ascii="Arial" w:hAnsi="Arial"/>
      <w:sz w:val="21"/>
      <w:lang w:eastAsia="en-US"/>
    </w:rPr>
  </w:style>
  <w:style w:type="paragraph" w:customStyle="1" w:styleId="CourtNo1">
    <w:name w:val="Court_No1"/>
    <w:basedOn w:val="CourtNormal"/>
    <w:qFormat/>
    <w:rsid w:val="00D22970"/>
    <w:pPr>
      <w:numPr>
        <w:numId w:val="57"/>
      </w:numPr>
      <w:outlineLvl w:val="0"/>
    </w:pPr>
  </w:style>
  <w:style w:type="paragraph" w:customStyle="1" w:styleId="CourtNo2">
    <w:name w:val="Court_No2"/>
    <w:basedOn w:val="CourtNormal"/>
    <w:qFormat/>
    <w:rsid w:val="00D22970"/>
    <w:pPr>
      <w:numPr>
        <w:ilvl w:val="1"/>
        <w:numId w:val="57"/>
      </w:numPr>
      <w:outlineLvl w:val="1"/>
    </w:pPr>
  </w:style>
  <w:style w:type="paragraph" w:customStyle="1" w:styleId="CourtNo3">
    <w:name w:val="Court_No3"/>
    <w:basedOn w:val="CourtNormal"/>
    <w:qFormat/>
    <w:rsid w:val="00D22970"/>
    <w:pPr>
      <w:numPr>
        <w:ilvl w:val="2"/>
        <w:numId w:val="57"/>
      </w:numPr>
      <w:outlineLvl w:val="2"/>
    </w:pPr>
  </w:style>
  <w:style w:type="paragraph" w:customStyle="1" w:styleId="CourtNo4">
    <w:name w:val="Court_No4"/>
    <w:basedOn w:val="CourtNormal"/>
    <w:qFormat/>
    <w:rsid w:val="00D22970"/>
    <w:pPr>
      <w:numPr>
        <w:ilvl w:val="3"/>
        <w:numId w:val="57"/>
      </w:numPr>
      <w:outlineLvl w:val="3"/>
    </w:pPr>
  </w:style>
  <w:style w:type="paragraph" w:customStyle="1" w:styleId="CourtNo5">
    <w:name w:val="Court_No5"/>
    <w:basedOn w:val="CourtNormal"/>
    <w:qFormat/>
    <w:rsid w:val="00D22970"/>
    <w:pPr>
      <w:numPr>
        <w:ilvl w:val="4"/>
        <w:numId w:val="57"/>
      </w:numPr>
      <w:outlineLvl w:val="4"/>
    </w:pPr>
  </w:style>
  <w:style w:type="paragraph" w:customStyle="1" w:styleId="CourtNo6">
    <w:name w:val="Court_No6"/>
    <w:basedOn w:val="CourtNormal"/>
    <w:qFormat/>
    <w:rsid w:val="00D22970"/>
    <w:pPr>
      <w:numPr>
        <w:ilvl w:val="5"/>
        <w:numId w:val="57"/>
      </w:numPr>
      <w:outlineLvl w:val="5"/>
    </w:pPr>
  </w:style>
  <w:style w:type="paragraph" w:customStyle="1" w:styleId="CourtSingle">
    <w:name w:val="CourtSingle"/>
    <w:basedOn w:val="CourtNormal"/>
    <w:qFormat/>
    <w:rsid w:val="00D22970"/>
    <w:pPr>
      <w:spacing w:after="0" w:line="240" w:lineRule="auto"/>
    </w:pPr>
  </w:style>
  <w:style w:type="paragraph" w:customStyle="1" w:styleId="CourtSingleRight">
    <w:name w:val="CourtSingleRight"/>
    <w:basedOn w:val="CourtSingle"/>
    <w:qFormat/>
    <w:rsid w:val="00D22970"/>
    <w:pPr>
      <w:jc w:val="right"/>
    </w:pPr>
  </w:style>
  <w:style w:type="paragraph" w:customStyle="1" w:styleId="CourtHeading">
    <w:name w:val="CourtHeading"/>
    <w:basedOn w:val="CourtSingle"/>
    <w:next w:val="CourtNormal"/>
    <w:qFormat/>
    <w:rsid w:val="00D22970"/>
    <w:pPr>
      <w:spacing w:after="240"/>
      <w:jc w:val="center"/>
    </w:pPr>
    <w:rPr>
      <w:rFonts w:ascii="Arial Bold" w:hAnsi="Arial Bold"/>
      <w:b/>
      <w:sz w:val="20"/>
    </w:rPr>
  </w:style>
  <w:style w:type="paragraph" w:customStyle="1" w:styleId="CourtSingleRightTab">
    <w:name w:val="CourtSingle+RightTab"/>
    <w:basedOn w:val="CourtNormal"/>
    <w:qFormat/>
    <w:rsid w:val="00D22970"/>
    <w:pPr>
      <w:tabs>
        <w:tab w:val="right" w:pos="9356"/>
      </w:tabs>
      <w:spacing w:after="0" w:line="240" w:lineRule="auto"/>
    </w:pPr>
  </w:style>
  <w:style w:type="paragraph" w:customStyle="1" w:styleId="CourtSingleRule">
    <w:name w:val="CourtSingleRule"/>
    <w:basedOn w:val="CourtSingle"/>
    <w:qFormat/>
    <w:rsid w:val="00D22970"/>
    <w:rPr>
      <w:bCs/>
      <w:sz w:val="18"/>
    </w:rPr>
  </w:style>
  <w:style w:type="paragraph" w:customStyle="1" w:styleId="CourtIndent1">
    <w:name w:val="CourtIndent1"/>
    <w:basedOn w:val="CourtNormal"/>
    <w:qFormat/>
    <w:rsid w:val="00D22970"/>
    <w:pPr>
      <w:numPr>
        <w:numId w:val="58"/>
      </w:numPr>
    </w:pPr>
  </w:style>
  <w:style w:type="paragraph" w:customStyle="1" w:styleId="CourtIndent2">
    <w:name w:val="CourtIndent2"/>
    <w:basedOn w:val="CourtNormal"/>
    <w:qFormat/>
    <w:rsid w:val="00D22970"/>
    <w:pPr>
      <w:numPr>
        <w:ilvl w:val="1"/>
        <w:numId w:val="58"/>
      </w:numPr>
    </w:pPr>
  </w:style>
  <w:style w:type="paragraph" w:customStyle="1" w:styleId="CourtIndent3">
    <w:name w:val="CourtIndent3"/>
    <w:basedOn w:val="CourtNormal"/>
    <w:qFormat/>
    <w:rsid w:val="00D22970"/>
    <w:pPr>
      <w:numPr>
        <w:ilvl w:val="2"/>
        <w:numId w:val="58"/>
      </w:numPr>
    </w:pPr>
  </w:style>
  <w:style w:type="paragraph" w:customStyle="1" w:styleId="CourtIndent4">
    <w:name w:val="CourtIndent4"/>
    <w:basedOn w:val="CourtNormal"/>
    <w:qFormat/>
    <w:rsid w:val="00D22970"/>
    <w:pPr>
      <w:numPr>
        <w:ilvl w:val="3"/>
        <w:numId w:val="58"/>
      </w:numPr>
    </w:pPr>
  </w:style>
  <w:style w:type="paragraph" w:customStyle="1" w:styleId="CourtIndent5">
    <w:name w:val="CourtIndent5"/>
    <w:basedOn w:val="CourtNormal"/>
    <w:qFormat/>
    <w:rsid w:val="00D22970"/>
    <w:pPr>
      <w:numPr>
        <w:ilvl w:val="4"/>
        <w:numId w:val="58"/>
      </w:numPr>
    </w:pPr>
  </w:style>
  <w:style w:type="paragraph" w:customStyle="1" w:styleId="CourtIndent6">
    <w:name w:val="CourtIndent6"/>
    <w:basedOn w:val="CourtNormal"/>
    <w:qFormat/>
    <w:rsid w:val="00D22970"/>
    <w:pPr>
      <w:numPr>
        <w:ilvl w:val="5"/>
        <w:numId w:val="58"/>
      </w:numPr>
    </w:pPr>
  </w:style>
  <w:style w:type="paragraph" w:customStyle="1" w:styleId="DocumentTitle">
    <w:name w:val="DocumentTitle"/>
    <w:basedOn w:val="CourtHeading"/>
    <w:rsid w:val="00D22970"/>
    <w:pPr>
      <w:keepNext/>
      <w:spacing w:before="240" w:after="480"/>
    </w:pPr>
    <w:rPr>
      <w:spacing w:val="40"/>
      <w:sz w:val="28"/>
    </w:rPr>
  </w:style>
  <w:style w:type="paragraph" w:styleId="TOC4">
    <w:name w:val="toc 4"/>
    <w:basedOn w:val="Normal"/>
    <w:next w:val="Normal"/>
    <w:autoRedefine/>
    <w:uiPriority w:val="39"/>
    <w:unhideWhenUsed/>
    <w:rsid w:val="0042106D"/>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42106D"/>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42106D"/>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42106D"/>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42106D"/>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42106D"/>
    <w:pPr>
      <w:spacing w:after="100" w:line="259" w:lineRule="auto"/>
      <w:ind w:left="1760"/>
    </w:pPr>
    <w:rPr>
      <w:rFonts w:asciiTheme="minorHAnsi" w:eastAsiaTheme="minorEastAsia" w:hAnsiTheme="minorHAnsi"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359">
      <w:bodyDiv w:val="1"/>
      <w:marLeft w:val="0"/>
      <w:marRight w:val="0"/>
      <w:marTop w:val="0"/>
      <w:marBottom w:val="0"/>
      <w:divBdr>
        <w:top w:val="none" w:sz="0" w:space="0" w:color="auto"/>
        <w:left w:val="none" w:sz="0" w:space="0" w:color="auto"/>
        <w:bottom w:val="none" w:sz="0" w:space="0" w:color="auto"/>
        <w:right w:val="none" w:sz="0" w:space="0" w:color="auto"/>
      </w:divBdr>
    </w:div>
    <w:div w:id="209652081">
      <w:bodyDiv w:val="1"/>
      <w:marLeft w:val="0"/>
      <w:marRight w:val="0"/>
      <w:marTop w:val="0"/>
      <w:marBottom w:val="0"/>
      <w:divBdr>
        <w:top w:val="none" w:sz="0" w:space="0" w:color="auto"/>
        <w:left w:val="none" w:sz="0" w:space="0" w:color="auto"/>
        <w:bottom w:val="none" w:sz="0" w:space="0" w:color="auto"/>
        <w:right w:val="none" w:sz="0" w:space="0" w:color="auto"/>
      </w:divBdr>
    </w:div>
    <w:div w:id="225647282">
      <w:bodyDiv w:val="1"/>
      <w:marLeft w:val="0"/>
      <w:marRight w:val="0"/>
      <w:marTop w:val="0"/>
      <w:marBottom w:val="0"/>
      <w:divBdr>
        <w:top w:val="none" w:sz="0" w:space="0" w:color="auto"/>
        <w:left w:val="none" w:sz="0" w:space="0" w:color="auto"/>
        <w:bottom w:val="none" w:sz="0" w:space="0" w:color="auto"/>
        <w:right w:val="none" w:sz="0" w:space="0" w:color="auto"/>
      </w:divBdr>
    </w:div>
    <w:div w:id="260841076">
      <w:bodyDiv w:val="1"/>
      <w:marLeft w:val="0"/>
      <w:marRight w:val="0"/>
      <w:marTop w:val="0"/>
      <w:marBottom w:val="0"/>
      <w:divBdr>
        <w:top w:val="none" w:sz="0" w:space="0" w:color="auto"/>
        <w:left w:val="none" w:sz="0" w:space="0" w:color="auto"/>
        <w:bottom w:val="none" w:sz="0" w:space="0" w:color="auto"/>
        <w:right w:val="none" w:sz="0" w:space="0" w:color="auto"/>
      </w:divBdr>
    </w:div>
    <w:div w:id="294990314">
      <w:bodyDiv w:val="1"/>
      <w:marLeft w:val="0"/>
      <w:marRight w:val="0"/>
      <w:marTop w:val="0"/>
      <w:marBottom w:val="0"/>
      <w:divBdr>
        <w:top w:val="none" w:sz="0" w:space="0" w:color="auto"/>
        <w:left w:val="none" w:sz="0" w:space="0" w:color="auto"/>
        <w:bottom w:val="none" w:sz="0" w:space="0" w:color="auto"/>
        <w:right w:val="none" w:sz="0" w:space="0" w:color="auto"/>
      </w:divBdr>
    </w:div>
    <w:div w:id="331876311">
      <w:bodyDiv w:val="1"/>
      <w:marLeft w:val="0"/>
      <w:marRight w:val="0"/>
      <w:marTop w:val="0"/>
      <w:marBottom w:val="0"/>
      <w:divBdr>
        <w:top w:val="none" w:sz="0" w:space="0" w:color="auto"/>
        <w:left w:val="none" w:sz="0" w:space="0" w:color="auto"/>
        <w:bottom w:val="none" w:sz="0" w:space="0" w:color="auto"/>
        <w:right w:val="none" w:sz="0" w:space="0" w:color="auto"/>
      </w:divBdr>
    </w:div>
    <w:div w:id="351608197">
      <w:bodyDiv w:val="1"/>
      <w:marLeft w:val="0"/>
      <w:marRight w:val="0"/>
      <w:marTop w:val="0"/>
      <w:marBottom w:val="0"/>
      <w:divBdr>
        <w:top w:val="none" w:sz="0" w:space="0" w:color="auto"/>
        <w:left w:val="none" w:sz="0" w:space="0" w:color="auto"/>
        <w:bottom w:val="none" w:sz="0" w:space="0" w:color="auto"/>
        <w:right w:val="none" w:sz="0" w:space="0" w:color="auto"/>
      </w:divBdr>
    </w:div>
    <w:div w:id="472991985">
      <w:bodyDiv w:val="1"/>
      <w:marLeft w:val="0"/>
      <w:marRight w:val="0"/>
      <w:marTop w:val="0"/>
      <w:marBottom w:val="0"/>
      <w:divBdr>
        <w:top w:val="none" w:sz="0" w:space="0" w:color="auto"/>
        <w:left w:val="none" w:sz="0" w:space="0" w:color="auto"/>
        <w:bottom w:val="none" w:sz="0" w:space="0" w:color="auto"/>
        <w:right w:val="none" w:sz="0" w:space="0" w:color="auto"/>
      </w:divBdr>
    </w:div>
    <w:div w:id="481427650">
      <w:bodyDiv w:val="1"/>
      <w:marLeft w:val="0"/>
      <w:marRight w:val="0"/>
      <w:marTop w:val="0"/>
      <w:marBottom w:val="0"/>
      <w:divBdr>
        <w:top w:val="none" w:sz="0" w:space="0" w:color="auto"/>
        <w:left w:val="none" w:sz="0" w:space="0" w:color="auto"/>
        <w:bottom w:val="none" w:sz="0" w:space="0" w:color="auto"/>
        <w:right w:val="none" w:sz="0" w:space="0" w:color="auto"/>
      </w:divBdr>
    </w:div>
    <w:div w:id="495918566">
      <w:bodyDiv w:val="1"/>
      <w:marLeft w:val="0"/>
      <w:marRight w:val="0"/>
      <w:marTop w:val="0"/>
      <w:marBottom w:val="0"/>
      <w:divBdr>
        <w:top w:val="none" w:sz="0" w:space="0" w:color="auto"/>
        <w:left w:val="none" w:sz="0" w:space="0" w:color="auto"/>
        <w:bottom w:val="none" w:sz="0" w:space="0" w:color="auto"/>
        <w:right w:val="none" w:sz="0" w:space="0" w:color="auto"/>
      </w:divBdr>
    </w:div>
    <w:div w:id="502932690">
      <w:bodyDiv w:val="1"/>
      <w:marLeft w:val="0"/>
      <w:marRight w:val="0"/>
      <w:marTop w:val="0"/>
      <w:marBottom w:val="0"/>
      <w:divBdr>
        <w:top w:val="none" w:sz="0" w:space="0" w:color="auto"/>
        <w:left w:val="none" w:sz="0" w:space="0" w:color="auto"/>
        <w:bottom w:val="none" w:sz="0" w:space="0" w:color="auto"/>
        <w:right w:val="none" w:sz="0" w:space="0" w:color="auto"/>
      </w:divBdr>
      <w:divsChild>
        <w:div w:id="554662084">
          <w:marLeft w:val="0"/>
          <w:marRight w:val="0"/>
          <w:marTop w:val="0"/>
          <w:marBottom w:val="0"/>
          <w:divBdr>
            <w:top w:val="none" w:sz="0" w:space="0" w:color="auto"/>
            <w:left w:val="none" w:sz="0" w:space="0" w:color="auto"/>
            <w:bottom w:val="none" w:sz="0" w:space="0" w:color="auto"/>
            <w:right w:val="none" w:sz="0" w:space="0" w:color="auto"/>
          </w:divBdr>
        </w:div>
      </w:divsChild>
    </w:div>
    <w:div w:id="506362852">
      <w:bodyDiv w:val="1"/>
      <w:marLeft w:val="0"/>
      <w:marRight w:val="0"/>
      <w:marTop w:val="0"/>
      <w:marBottom w:val="0"/>
      <w:divBdr>
        <w:top w:val="none" w:sz="0" w:space="0" w:color="auto"/>
        <w:left w:val="none" w:sz="0" w:space="0" w:color="auto"/>
        <w:bottom w:val="none" w:sz="0" w:space="0" w:color="auto"/>
        <w:right w:val="none" w:sz="0" w:space="0" w:color="auto"/>
      </w:divBdr>
    </w:div>
    <w:div w:id="517156887">
      <w:bodyDiv w:val="1"/>
      <w:marLeft w:val="0"/>
      <w:marRight w:val="0"/>
      <w:marTop w:val="0"/>
      <w:marBottom w:val="0"/>
      <w:divBdr>
        <w:top w:val="none" w:sz="0" w:space="0" w:color="auto"/>
        <w:left w:val="none" w:sz="0" w:space="0" w:color="auto"/>
        <w:bottom w:val="none" w:sz="0" w:space="0" w:color="auto"/>
        <w:right w:val="none" w:sz="0" w:space="0" w:color="auto"/>
      </w:divBdr>
      <w:divsChild>
        <w:div w:id="441220943">
          <w:marLeft w:val="0"/>
          <w:marRight w:val="0"/>
          <w:marTop w:val="0"/>
          <w:marBottom w:val="0"/>
          <w:divBdr>
            <w:top w:val="none" w:sz="0" w:space="0" w:color="auto"/>
            <w:left w:val="none" w:sz="0" w:space="0" w:color="auto"/>
            <w:bottom w:val="none" w:sz="0" w:space="0" w:color="auto"/>
            <w:right w:val="none" w:sz="0" w:space="0" w:color="auto"/>
          </w:divBdr>
        </w:div>
      </w:divsChild>
    </w:div>
    <w:div w:id="541332727">
      <w:bodyDiv w:val="1"/>
      <w:marLeft w:val="0"/>
      <w:marRight w:val="0"/>
      <w:marTop w:val="0"/>
      <w:marBottom w:val="0"/>
      <w:divBdr>
        <w:top w:val="none" w:sz="0" w:space="0" w:color="auto"/>
        <w:left w:val="none" w:sz="0" w:space="0" w:color="auto"/>
        <w:bottom w:val="none" w:sz="0" w:space="0" w:color="auto"/>
        <w:right w:val="none" w:sz="0" w:space="0" w:color="auto"/>
      </w:divBdr>
    </w:div>
    <w:div w:id="573511496">
      <w:bodyDiv w:val="1"/>
      <w:marLeft w:val="0"/>
      <w:marRight w:val="0"/>
      <w:marTop w:val="0"/>
      <w:marBottom w:val="0"/>
      <w:divBdr>
        <w:top w:val="none" w:sz="0" w:space="0" w:color="auto"/>
        <w:left w:val="none" w:sz="0" w:space="0" w:color="auto"/>
        <w:bottom w:val="none" w:sz="0" w:space="0" w:color="auto"/>
        <w:right w:val="none" w:sz="0" w:space="0" w:color="auto"/>
      </w:divBdr>
    </w:div>
    <w:div w:id="601569731">
      <w:bodyDiv w:val="1"/>
      <w:marLeft w:val="0"/>
      <w:marRight w:val="0"/>
      <w:marTop w:val="0"/>
      <w:marBottom w:val="0"/>
      <w:divBdr>
        <w:top w:val="none" w:sz="0" w:space="0" w:color="auto"/>
        <w:left w:val="none" w:sz="0" w:space="0" w:color="auto"/>
        <w:bottom w:val="none" w:sz="0" w:space="0" w:color="auto"/>
        <w:right w:val="none" w:sz="0" w:space="0" w:color="auto"/>
      </w:divBdr>
    </w:div>
    <w:div w:id="654798247">
      <w:bodyDiv w:val="1"/>
      <w:marLeft w:val="0"/>
      <w:marRight w:val="0"/>
      <w:marTop w:val="0"/>
      <w:marBottom w:val="0"/>
      <w:divBdr>
        <w:top w:val="none" w:sz="0" w:space="0" w:color="auto"/>
        <w:left w:val="none" w:sz="0" w:space="0" w:color="auto"/>
        <w:bottom w:val="none" w:sz="0" w:space="0" w:color="auto"/>
        <w:right w:val="none" w:sz="0" w:space="0" w:color="auto"/>
      </w:divBdr>
    </w:div>
    <w:div w:id="661128965">
      <w:bodyDiv w:val="1"/>
      <w:marLeft w:val="0"/>
      <w:marRight w:val="0"/>
      <w:marTop w:val="0"/>
      <w:marBottom w:val="0"/>
      <w:divBdr>
        <w:top w:val="none" w:sz="0" w:space="0" w:color="auto"/>
        <w:left w:val="none" w:sz="0" w:space="0" w:color="auto"/>
        <w:bottom w:val="none" w:sz="0" w:space="0" w:color="auto"/>
        <w:right w:val="none" w:sz="0" w:space="0" w:color="auto"/>
      </w:divBdr>
    </w:div>
    <w:div w:id="787822144">
      <w:bodyDiv w:val="1"/>
      <w:marLeft w:val="0"/>
      <w:marRight w:val="0"/>
      <w:marTop w:val="0"/>
      <w:marBottom w:val="0"/>
      <w:divBdr>
        <w:top w:val="none" w:sz="0" w:space="0" w:color="auto"/>
        <w:left w:val="none" w:sz="0" w:space="0" w:color="auto"/>
        <w:bottom w:val="none" w:sz="0" w:space="0" w:color="auto"/>
        <w:right w:val="none" w:sz="0" w:space="0" w:color="auto"/>
      </w:divBdr>
    </w:div>
    <w:div w:id="787971486">
      <w:bodyDiv w:val="1"/>
      <w:marLeft w:val="0"/>
      <w:marRight w:val="0"/>
      <w:marTop w:val="0"/>
      <w:marBottom w:val="0"/>
      <w:divBdr>
        <w:top w:val="none" w:sz="0" w:space="0" w:color="auto"/>
        <w:left w:val="none" w:sz="0" w:space="0" w:color="auto"/>
        <w:bottom w:val="none" w:sz="0" w:space="0" w:color="auto"/>
        <w:right w:val="none" w:sz="0" w:space="0" w:color="auto"/>
      </w:divBdr>
    </w:div>
    <w:div w:id="792141555">
      <w:bodyDiv w:val="1"/>
      <w:marLeft w:val="0"/>
      <w:marRight w:val="0"/>
      <w:marTop w:val="0"/>
      <w:marBottom w:val="0"/>
      <w:divBdr>
        <w:top w:val="none" w:sz="0" w:space="0" w:color="auto"/>
        <w:left w:val="none" w:sz="0" w:space="0" w:color="auto"/>
        <w:bottom w:val="none" w:sz="0" w:space="0" w:color="auto"/>
        <w:right w:val="none" w:sz="0" w:space="0" w:color="auto"/>
      </w:divBdr>
    </w:div>
    <w:div w:id="816843079">
      <w:bodyDiv w:val="1"/>
      <w:marLeft w:val="0"/>
      <w:marRight w:val="0"/>
      <w:marTop w:val="0"/>
      <w:marBottom w:val="0"/>
      <w:divBdr>
        <w:top w:val="none" w:sz="0" w:space="0" w:color="auto"/>
        <w:left w:val="none" w:sz="0" w:space="0" w:color="auto"/>
        <w:bottom w:val="none" w:sz="0" w:space="0" w:color="auto"/>
        <w:right w:val="none" w:sz="0" w:space="0" w:color="auto"/>
      </w:divBdr>
    </w:div>
    <w:div w:id="913852877">
      <w:bodyDiv w:val="1"/>
      <w:marLeft w:val="0"/>
      <w:marRight w:val="0"/>
      <w:marTop w:val="0"/>
      <w:marBottom w:val="0"/>
      <w:divBdr>
        <w:top w:val="none" w:sz="0" w:space="0" w:color="auto"/>
        <w:left w:val="none" w:sz="0" w:space="0" w:color="auto"/>
        <w:bottom w:val="none" w:sz="0" w:space="0" w:color="auto"/>
        <w:right w:val="none" w:sz="0" w:space="0" w:color="auto"/>
      </w:divBdr>
    </w:div>
    <w:div w:id="979304806">
      <w:bodyDiv w:val="1"/>
      <w:marLeft w:val="0"/>
      <w:marRight w:val="0"/>
      <w:marTop w:val="0"/>
      <w:marBottom w:val="0"/>
      <w:divBdr>
        <w:top w:val="none" w:sz="0" w:space="0" w:color="auto"/>
        <w:left w:val="none" w:sz="0" w:space="0" w:color="auto"/>
        <w:bottom w:val="none" w:sz="0" w:space="0" w:color="auto"/>
        <w:right w:val="none" w:sz="0" w:space="0" w:color="auto"/>
      </w:divBdr>
    </w:div>
    <w:div w:id="1098595098">
      <w:bodyDiv w:val="1"/>
      <w:marLeft w:val="0"/>
      <w:marRight w:val="0"/>
      <w:marTop w:val="0"/>
      <w:marBottom w:val="0"/>
      <w:divBdr>
        <w:top w:val="none" w:sz="0" w:space="0" w:color="auto"/>
        <w:left w:val="none" w:sz="0" w:space="0" w:color="auto"/>
        <w:bottom w:val="none" w:sz="0" w:space="0" w:color="auto"/>
        <w:right w:val="none" w:sz="0" w:space="0" w:color="auto"/>
      </w:divBdr>
    </w:div>
    <w:div w:id="1127775166">
      <w:bodyDiv w:val="1"/>
      <w:marLeft w:val="0"/>
      <w:marRight w:val="0"/>
      <w:marTop w:val="0"/>
      <w:marBottom w:val="0"/>
      <w:divBdr>
        <w:top w:val="none" w:sz="0" w:space="0" w:color="auto"/>
        <w:left w:val="none" w:sz="0" w:space="0" w:color="auto"/>
        <w:bottom w:val="none" w:sz="0" w:space="0" w:color="auto"/>
        <w:right w:val="none" w:sz="0" w:space="0" w:color="auto"/>
      </w:divBdr>
    </w:div>
    <w:div w:id="1162116871">
      <w:bodyDiv w:val="1"/>
      <w:marLeft w:val="0"/>
      <w:marRight w:val="0"/>
      <w:marTop w:val="0"/>
      <w:marBottom w:val="0"/>
      <w:divBdr>
        <w:top w:val="none" w:sz="0" w:space="0" w:color="auto"/>
        <w:left w:val="none" w:sz="0" w:space="0" w:color="auto"/>
        <w:bottom w:val="none" w:sz="0" w:space="0" w:color="auto"/>
        <w:right w:val="none" w:sz="0" w:space="0" w:color="auto"/>
      </w:divBdr>
    </w:div>
    <w:div w:id="1190030465">
      <w:bodyDiv w:val="1"/>
      <w:marLeft w:val="0"/>
      <w:marRight w:val="0"/>
      <w:marTop w:val="0"/>
      <w:marBottom w:val="0"/>
      <w:divBdr>
        <w:top w:val="none" w:sz="0" w:space="0" w:color="auto"/>
        <w:left w:val="none" w:sz="0" w:space="0" w:color="auto"/>
        <w:bottom w:val="none" w:sz="0" w:space="0" w:color="auto"/>
        <w:right w:val="none" w:sz="0" w:space="0" w:color="auto"/>
      </w:divBdr>
    </w:div>
    <w:div w:id="1201474927">
      <w:bodyDiv w:val="1"/>
      <w:marLeft w:val="0"/>
      <w:marRight w:val="0"/>
      <w:marTop w:val="0"/>
      <w:marBottom w:val="0"/>
      <w:divBdr>
        <w:top w:val="none" w:sz="0" w:space="0" w:color="auto"/>
        <w:left w:val="none" w:sz="0" w:space="0" w:color="auto"/>
        <w:bottom w:val="none" w:sz="0" w:space="0" w:color="auto"/>
        <w:right w:val="none" w:sz="0" w:space="0" w:color="auto"/>
      </w:divBdr>
    </w:div>
    <w:div w:id="1213955532">
      <w:bodyDiv w:val="1"/>
      <w:marLeft w:val="0"/>
      <w:marRight w:val="0"/>
      <w:marTop w:val="0"/>
      <w:marBottom w:val="0"/>
      <w:divBdr>
        <w:top w:val="none" w:sz="0" w:space="0" w:color="auto"/>
        <w:left w:val="none" w:sz="0" w:space="0" w:color="auto"/>
        <w:bottom w:val="none" w:sz="0" w:space="0" w:color="auto"/>
        <w:right w:val="none" w:sz="0" w:space="0" w:color="auto"/>
      </w:divBdr>
    </w:div>
    <w:div w:id="1317491161">
      <w:bodyDiv w:val="1"/>
      <w:marLeft w:val="0"/>
      <w:marRight w:val="0"/>
      <w:marTop w:val="0"/>
      <w:marBottom w:val="0"/>
      <w:divBdr>
        <w:top w:val="none" w:sz="0" w:space="0" w:color="auto"/>
        <w:left w:val="none" w:sz="0" w:space="0" w:color="auto"/>
        <w:bottom w:val="none" w:sz="0" w:space="0" w:color="auto"/>
        <w:right w:val="none" w:sz="0" w:space="0" w:color="auto"/>
      </w:divBdr>
    </w:div>
    <w:div w:id="1374578451">
      <w:bodyDiv w:val="1"/>
      <w:marLeft w:val="0"/>
      <w:marRight w:val="0"/>
      <w:marTop w:val="0"/>
      <w:marBottom w:val="0"/>
      <w:divBdr>
        <w:top w:val="none" w:sz="0" w:space="0" w:color="auto"/>
        <w:left w:val="none" w:sz="0" w:space="0" w:color="auto"/>
        <w:bottom w:val="none" w:sz="0" w:space="0" w:color="auto"/>
        <w:right w:val="none" w:sz="0" w:space="0" w:color="auto"/>
      </w:divBdr>
    </w:div>
    <w:div w:id="1379434079">
      <w:bodyDiv w:val="1"/>
      <w:marLeft w:val="0"/>
      <w:marRight w:val="0"/>
      <w:marTop w:val="0"/>
      <w:marBottom w:val="0"/>
      <w:divBdr>
        <w:top w:val="none" w:sz="0" w:space="0" w:color="auto"/>
        <w:left w:val="none" w:sz="0" w:space="0" w:color="auto"/>
        <w:bottom w:val="none" w:sz="0" w:space="0" w:color="auto"/>
        <w:right w:val="none" w:sz="0" w:space="0" w:color="auto"/>
      </w:divBdr>
    </w:div>
    <w:div w:id="1379746953">
      <w:bodyDiv w:val="1"/>
      <w:marLeft w:val="0"/>
      <w:marRight w:val="0"/>
      <w:marTop w:val="0"/>
      <w:marBottom w:val="0"/>
      <w:divBdr>
        <w:top w:val="none" w:sz="0" w:space="0" w:color="auto"/>
        <w:left w:val="none" w:sz="0" w:space="0" w:color="auto"/>
        <w:bottom w:val="none" w:sz="0" w:space="0" w:color="auto"/>
        <w:right w:val="none" w:sz="0" w:space="0" w:color="auto"/>
      </w:divBdr>
    </w:div>
    <w:div w:id="1411807752">
      <w:bodyDiv w:val="1"/>
      <w:marLeft w:val="0"/>
      <w:marRight w:val="0"/>
      <w:marTop w:val="0"/>
      <w:marBottom w:val="0"/>
      <w:divBdr>
        <w:top w:val="none" w:sz="0" w:space="0" w:color="auto"/>
        <w:left w:val="none" w:sz="0" w:space="0" w:color="auto"/>
        <w:bottom w:val="none" w:sz="0" w:space="0" w:color="auto"/>
        <w:right w:val="none" w:sz="0" w:space="0" w:color="auto"/>
      </w:divBdr>
    </w:div>
    <w:div w:id="1497726683">
      <w:bodyDiv w:val="1"/>
      <w:marLeft w:val="0"/>
      <w:marRight w:val="0"/>
      <w:marTop w:val="0"/>
      <w:marBottom w:val="0"/>
      <w:divBdr>
        <w:top w:val="none" w:sz="0" w:space="0" w:color="auto"/>
        <w:left w:val="none" w:sz="0" w:space="0" w:color="auto"/>
        <w:bottom w:val="none" w:sz="0" w:space="0" w:color="auto"/>
        <w:right w:val="none" w:sz="0" w:space="0" w:color="auto"/>
      </w:divBdr>
    </w:div>
    <w:div w:id="1581986676">
      <w:bodyDiv w:val="1"/>
      <w:marLeft w:val="0"/>
      <w:marRight w:val="0"/>
      <w:marTop w:val="0"/>
      <w:marBottom w:val="0"/>
      <w:divBdr>
        <w:top w:val="none" w:sz="0" w:space="0" w:color="auto"/>
        <w:left w:val="none" w:sz="0" w:space="0" w:color="auto"/>
        <w:bottom w:val="none" w:sz="0" w:space="0" w:color="auto"/>
        <w:right w:val="none" w:sz="0" w:space="0" w:color="auto"/>
      </w:divBdr>
    </w:div>
    <w:div w:id="1686394695">
      <w:bodyDiv w:val="1"/>
      <w:marLeft w:val="0"/>
      <w:marRight w:val="0"/>
      <w:marTop w:val="0"/>
      <w:marBottom w:val="0"/>
      <w:divBdr>
        <w:top w:val="none" w:sz="0" w:space="0" w:color="auto"/>
        <w:left w:val="none" w:sz="0" w:space="0" w:color="auto"/>
        <w:bottom w:val="none" w:sz="0" w:space="0" w:color="auto"/>
        <w:right w:val="none" w:sz="0" w:space="0" w:color="auto"/>
      </w:divBdr>
    </w:div>
    <w:div w:id="1712224620">
      <w:bodyDiv w:val="1"/>
      <w:marLeft w:val="0"/>
      <w:marRight w:val="0"/>
      <w:marTop w:val="0"/>
      <w:marBottom w:val="0"/>
      <w:divBdr>
        <w:top w:val="none" w:sz="0" w:space="0" w:color="auto"/>
        <w:left w:val="none" w:sz="0" w:space="0" w:color="auto"/>
        <w:bottom w:val="none" w:sz="0" w:space="0" w:color="auto"/>
        <w:right w:val="none" w:sz="0" w:space="0" w:color="auto"/>
      </w:divBdr>
    </w:div>
    <w:div w:id="1743989063">
      <w:bodyDiv w:val="1"/>
      <w:marLeft w:val="0"/>
      <w:marRight w:val="0"/>
      <w:marTop w:val="0"/>
      <w:marBottom w:val="0"/>
      <w:divBdr>
        <w:top w:val="none" w:sz="0" w:space="0" w:color="auto"/>
        <w:left w:val="none" w:sz="0" w:space="0" w:color="auto"/>
        <w:bottom w:val="none" w:sz="0" w:space="0" w:color="auto"/>
        <w:right w:val="none" w:sz="0" w:space="0" w:color="auto"/>
      </w:divBdr>
    </w:div>
    <w:div w:id="1753547371">
      <w:bodyDiv w:val="1"/>
      <w:marLeft w:val="0"/>
      <w:marRight w:val="0"/>
      <w:marTop w:val="0"/>
      <w:marBottom w:val="0"/>
      <w:divBdr>
        <w:top w:val="none" w:sz="0" w:space="0" w:color="auto"/>
        <w:left w:val="none" w:sz="0" w:space="0" w:color="auto"/>
        <w:bottom w:val="none" w:sz="0" w:space="0" w:color="auto"/>
        <w:right w:val="none" w:sz="0" w:space="0" w:color="auto"/>
      </w:divBdr>
    </w:div>
    <w:div w:id="1762484877">
      <w:bodyDiv w:val="1"/>
      <w:marLeft w:val="0"/>
      <w:marRight w:val="0"/>
      <w:marTop w:val="0"/>
      <w:marBottom w:val="0"/>
      <w:divBdr>
        <w:top w:val="none" w:sz="0" w:space="0" w:color="auto"/>
        <w:left w:val="none" w:sz="0" w:space="0" w:color="auto"/>
        <w:bottom w:val="none" w:sz="0" w:space="0" w:color="auto"/>
        <w:right w:val="none" w:sz="0" w:space="0" w:color="auto"/>
      </w:divBdr>
    </w:div>
    <w:div w:id="1824925156">
      <w:bodyDiv w:val="1"/>
      <w:marLeft w:val="0"/>
      <w:marRight w:val="0"/>
      <w:marTop w:val="0"/>
      <w:marBottom w:val="0"/>
      <w:divBdr>
        <w:top w:val="none" w:sz="0" w:space="0" w:color="auto"/>
        <w:left w:val="none" w:sz="0" w:space="0" w:color="auto"/>
        <w:bottom w:val="none" w:sz="0" w:space="0" w:color="auto"/>
        <w:right w:val="none" w:sz="0" w:space="0" w:color="auto"/>
      </w:divBdr>
    </w:div>
    <w:div w:id="1862931581">
      <w:bodyDiv w:val="1"/>
      <w:marLeft w:val="0"/>
      <w:marRight w:val="0"/>
      <w:marTop w:val="0"/>
      <w:marBottom w:val="0"/>
      <w:divBdr>
        <w:top w:val="none" w:sz="0" w:space="0" w:color="auto"/>
        <w:left w:val="none" w:sz="0" w:space="0" w:color="auto"/>
        <w:bottom w:val="none" w:sz="0" w:space="0" w:color="auto"/>
        <w:right w:val="none" w:sz="0" w:space="0" w:color="auto"/>
      </w:divBdr>
    </w:div>
    <w:div w:id="2061780064">
      <w:bodyDiv w:val="1"/>
      <w:marLeft w:val="0"/>
      <w:marRight w:val="0"/>
      <w:marTop w:val="0"/>
      <w:marBottom w:val="0"/>
      <w:divBdr>
        <w:top w:val="none" w:sz="0" w:space="0" w:color="auto"/>
        <w:left w:val="none" w:sz="0" w:space="0" w:color="auto"/>
        <w:bottom w:val="none" w:sz="0" w:space="0" w:color="auto"/>
        <w:right w:val="none" w:sz="0" w:space="0" w:color="auto"/>
      </w:divBdr>
    </w:div>
    <w:div w:id="2086032171">
      <w:bodyDiv w:val="1"/>
      <w:marLeft w:val="0"/>
      <w:marRight w:val="0"/>
      <w:marTop w:val="0"/>
      <w:marBottom w:val="0"/>
      <w:divBdr>
        <w:top w:val="none" w:sz="0" w:space="0" w:color="auto"/>
        <w:left w:val="none" w:sz="0" w:space="0" w:color="auto"/>
        <w:bottom w:val="none" w:sz="0" w:space="0" w:color="auto"/>
        <w:right w:val="none" w:sz="0" w:space="0" w:color="auto"/>
      </w:divBdr>
    </w:div>
    <w:div w:id="2114861125">
      <w:bodyDiv w:val="1"/>
      <w:marLeft w:val="0"/>
      <w:marRight w:val="0"/>
      <w:marTop w:val="0"/>
      <w:marBottom w:val="0"/>
      <w:divBdr>
        <w:top w:val="none" w:sz="0" w:space="0" w:color="auto"/>
        <w:left w:val="none" w:sz="0" w:space="0" w:color="auto"/>
        <w:bottom w:val="none" w:sz="0" w:space="0" w:color="auto"/>
        <w:right w:val="none" w:sz="0" w:space="0" w:color="auto"/>
      </w:divBdr>
    </w:div>
    <w:div w:id="2125685115">
      <w:bodyDiv w:val="1"/>
      <w:marLeft w:val="0"/>
      <w:marRight w:val="0"/>
      <w:marTop w:val="0"/>
      <w:marBottom w:val="0"/>
      <w:divBdr>
        <w:top w:val="none" w:sz="0" w:space="0" w:color="auto"/>
        <w:left w:val="none" w:sz="0" w:space="0" w:color="auto"/>
        <w:bottom w:val="none" w:sz="0" w:space="0" w:color="auto"/>
        <w:right w:val="none" w:sz="0" w:space="0" w:color="auto"/>
      </w:divBdr>
    </w:div>
    <w:div w:id="2131318819">
      <w:bodyDiv w:val="1"/>
      <w:marLeft w:val="0"/>
      <w:marRight w:val="0"/>
      <w:marTop w:val="0"/>
      <w:marBottom w:val="0"/>
      <w:divBdr>
        <w:top w:val="none" w:sz="0" w:space="0" w:color="auto"/>
        <w:left w:val="none" w:sz="0" w:space="0" w:color="auto"/>
        <w:bottom w:val="none" w:sz="0" w:space="0" w:color="auto"/>
        <w:right w:val="none" w:sz="0" w:space="0" w:color="auto"/>
      </w:divBdr>
    </w:div>
    <w:div w:id="21435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smh.com.au/national/nsw/court-verdicts-more-found-innocent-if-no-jury-involved-20131122-2y17l.html" TargetMode="External"/><Relationship Id="rId2" Type="http://schemas.openxmlformats.org/officeDocument/2006/relationships/hyperlink" Target="https://www.smh.com.au/national/nsw/court-verdicts-more-found-innocent-if-no-jury-involved-20131122-2y17l.html" TargetMode="External"/><Relationship Id="rId1" Type="http://schemas.openxmlformats.org/officeDocument/2006/relationships/hyperlink" Target="https://www.legalaid.vic.gov.au/information-for-lawyers/doing-legal-aid-work/delivering-high-quality-criminal-trials" TargetMode="External"/><Relationship Id="rId4" Type="http://schemas.openxmlformats.org/officeDocument/2006/relationships/hyperlink" Target="https://www.childrenscourt.vic.gov.au/about-us/histo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0A8E6860AAA419CC69C0CC668BD69" ma:contentTypeVersion="4" ma:contentTypeDescription="Create a new document." ma:contentTypeScope="" ma:versionID="e92ac1cdfa5580e2d2cceb4d15dc41d1">
  <xsd:schema xmlns:xsd="http://www.w3.org/2001/XMLSchema" xmlns:xs="http://www.w3.org/2001/XMLSchema" xmlns:p="http://schemas.microsoft.com/office/2006/metadata/properties" xmlns:ns2="96dd0dda-b691-4e0d-a7ac-6d04dbe6288a" xmlns:ns3="3603af46-a15f-489f-bb4a-29a88f2cd995" targetNamespace="http://schemas.microsoft.com/office/2006/metadata/properties" ma:root="true" ma:fieldsID="ed7c3b39f110700aa3df5b3f3f7562f3" ns2:_="" ns3:_="">
    <xsd:import namespace="96dd0dda-b691-4e0d-a7ac-6d04dbe6288a"/>
    <xsd:import namespace="3603af46-a15f-489f-bb4a-29a88f2cd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0dda-b691-4e0d-a7ac-6d04dbe6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3af46-a15f-489f-bb4a-29a88f2cd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603af46-a15f-489f-bb4a-29a88f2cd995">
      <UserInfo>
        <DisplayName>Committals reference group Members</DisplayName>
        <AccountId>7</AccountId>
        <AccountType/>
      </UserInfo>
      <UserInfo>
        <DisplayName>Cynthia Ganesharajah</DisplayName>
        <AccountId>27</AccountId>
        <AccountType/>
      </UserInfo>
      <UserInfo>
        <DisplayName>Anoushka Jeronimus</DisplayName>
        <AccountId>30</AccountId>
        <AccountType/>
      </UserInfo>
      <UserInfo>
        <DisplayName>Iresha Siriwardana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44F9-9853-4189-9EC2-2126B3AF2589}">
  <ds:schemaRefs>
    <ds:schemaRef ds:uri="http://schemas.microsoft.com/sharepoint/v3/contenttype/forms"/>
  </ds:schemaRefs>
</ds:datastoreItem>
</file>

<file path=customXml/itemProps2.xml><?xml version="1.0" encoding="utf-8"?>
<ds:datastoreItem xmlns:ds="http://schemas.openxmlformats.org/officeDocument/2006/customXml" ds:itemID="{D3A3575E-FB4F-4D9F-9385-72136575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0dda-b691-4e0d-a7ac-6d04dbe6288a"/>
    <ds:schemaRef ds:uri="3603af46-a15f-489f-bb4a-29a88f2cd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77B1E-0155-46CC-9CE2-8F99FB7971A1}">
  <ds:schemaRefs>
    <ds:schemaRef ds:uri="http://schemas.microsoft.com/office/2006/metadata/properties"/>
    <ds:schemaRef ds:uri="http://schemas.microsoft.com/office/infopath/2007/PartnerControls"/>
    <ds:schemaRef ds:uri="3603af46-a15f-489f-bb4a-29a88f2cd995"/>
  </ds:schemaRefs>
</ds:datastoreItem>
</file>

<file path=customXml/itemProps4.xml><?xml version="1.0" encoding="utf-8"?>
<ds:datastoreItem xmlns:ds="http://schemas.openxmlformats.org/officeDocument/2006/customXml" ds:itemID="{AC262E49-93A1-4C39-A089-EEF46724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22605</Words>
  <Characters>128850</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Submission to the Victorian Law Reform Commission on the Review of Committals</vt:lpstr>
    </vt:vector>
  </TitlesOfParts>
  <Company>Victoria Legal Aid</Company>
  <LinksUpToDate>false</LinksUpToDate>
  <CharactersWithSpaces>151153</CharactersWithSpaces>
  <SharedDoc>false</SharedDoc>
  <HLinks>
    <vt:vector size="378" baseType="variant">
      <vt:variant>
        <vt:i4>1114166</vt:i4>
      </vt:variant>
      <vt:variant>
        <vt:i4>350</vt:i4>
      </vt:variant>
      <vt:variant>
        <vt:i4>0</vt:i4>
      </vt:variant>
      <vt:variant>
        <vt:i4>5</vt:i4>
      </vt:variant>
      <vt:variant>
        <vt:lpwstr/>
      </vt:variant>
      <vt:variant>
        <vt:lpwstr>_Toc17120467</vt:lpwstr>
      </vt:variant>
      <vt:variant>
        <vt:i4>1048630</vt:i4>
      </vt:variant>
      <vt:variant>
        <vt:i4>344</vt:i4>
      </vt:variant>
      <vt:variant>
        <vt:i4>0</vt:i4>
      </vt:variant>
      <vt:variant>
        <vt:i4>5</vt:i4>
      </vt:variant>
      <vt:variant>
        <vt:lpwstr/>
      </vt:variant>
      <vt:variant>
        <vt:lpwstr>_Toc17120466</vt:lpwstr>
      </vt:variant>
      <vt:variant>
        <vt:i4>1245238</vt:i4>
      </vt:variant>
      <vt:variant>
        <vt:i4>338</vt:i4>
      </vt:variant>
      <vt:variant>
        <vt:i4>0</vt:i4>
      </vt:variant>
      <vt:variant>
        <vt:i4>5</vt:i4>
      </vt:variant>
      <vt:variant>
        <vt:lpwstr/>
      </vt:variant>
      <vt:variant>
        <vt:lpwstr>_Toc17120465</vt:lpwstr>
      </vt:variant>
      <vt:variant>
        <vt:i4>1179702</vt:i4>
      </vt:variant>
      <vt:variant>
        <vt:i4>332</vt:i4>
      </vt:variant>
      <vt:variant>
        <vt:i4>0</vt:i4>
      </vt:variant>
      <vt:variant>
        <vt:i4>5</vt:i4>
      </vt:variant>
      <vt:variant>
        <vt:lpwstr/>
      </vt:variant>
      <vt:variant>
        <vt:lpwstr>_Toc17120464</vt:lpwstr>
      </vt:variant>
      <vt:variant>
        <vt:i4>1376310</vt:i4>
      </vt:variant>
      <vt:variant>
        <vt:i4>326</vt:i4>
      </vt:variant>
      <vt:variant>
        <vt:i4>0</vt:i4>
      </vt:variant>
      <vt:variant>
        <vt:i4>5</vt:i4>
      </vt:variant>
      <vt:variant>
        <vt:lpwstr/>
      </vt:variant>
      <vt:variant>
        <vt:lpwstr>_Toc17120463</vt:lpwstr>
      </vt:variant>
      <vt:variant>
        <vt:i4>1310774</vt:i4>
      </vt:variant>
      <vt:variant>
        <vt:i4>320</vt:i4>
      </vt:variant>
      <vt:variant>
        <vt:i4>0</vt:i4>
      </vt:variant>
      <vt:variant>
        <vt:i4>5</vt:i4>
      </vt:variant>
      <vt:variant>
        <vt:lpwstr/>
      </vt:variant>
      <vt:variant>
        <vt:lpwstr>_Toc17120462</vt:lpwstr>
      </vt:variant>
      <vt:variant>
        <vt:i4>1507382</vt:i4>
      </vt:variant>
      <vt:variant>
        <vt:i4>314</vt:i4>
      </vt:variant>
      <vt:variant>
        <vt:i4>0</vt:i4>
      </vt:variant>
      <vt:variant>
        <vt:i4>5</vt:i4>
      </vt:variant>
      <vt:variant>
        <vt:lpwstr/>
      </vt:variant>
      <vt:variant>
        <vt:lpwstr>_Toc17120461</vt:lpwstr>
      </vt:variant>
      <vt:variant>
        <vt:i4>1441846</vt:i4>
      </vt:variant>
      <vt:variant>
        <vt:i4>308</vt:i4>
      </vt:variant>
      <vt:variant>
        <vt:i4>0</vt:i4>
      </vt:variant>
      <vt:variant>
        <vt:i4>5</vt:i4>
      </vt:variant>
      <vt:variant>
        <vt:lpwstr/>
      </vt:variant>
      <vt:variant>
        <vt:lpwstr>_Toc17120460</vt:lpwstr>
      </vt:variant>
      <vt:variant>
        <vt:i4>2031669</vt:i4>
      </vt:variant>
      <vt:variant>
        <vt:i4>302</vt:i4>
      </vt:variant>
      <vt:variant>
        <vt:i4>0</vt:i4>
      </vt:variant>
      <vt:variant>
        <vt:i4>5</vt:i4>
      </vt:variant>
      <vt:variant>
        <vt:lpwstr/>
      </vt:variant>
      <vt:variant>
        <vt:lpwstr>_Toc17120459</vt:lpwstr>
      </vt:variant>
      <vt:variant>
        <vt:i4>1966133</vt:i4>
      </vt:variant>
      <vt:variant>
        <vt:i4>296</vt:i4>
      </vt:variant>
      <vt:variant>
        <vt:i4>0</vt:i4>
      </vt:variant>
      <vt:variant>
        <vt:i4>5</vt:i4>
      </vt:variant>
      <vt:variant>
        <vt:lpwstr/>
      </vt:variant>
      <vt:variant>
        <vt:lpwstr>_Toc17120458</vt:lpwstr>
      </vt:variant>
      <vt:variant>
        <vt:i4>1114165</vt:i4>
      </vt:variant>
      <vt:variant>
        <vt:i4>290</vt:i4>
      </vt:variant>
      <vt:variant>
        <vt:i4>0</vt:i4>
      </vt:variant>
      <vt:variant>
        <vt:i4>5</vt:i4>
      </vt:variant>
      <vt:variant>
        <vt:lpwstr/>
      </vt:variant>
      <vt:variant>
        <vt:lpwstr>_Toc17120457</vt:lpwstr>
      </vt:variant>
      <vt:variant>
        <vt:i4>1048629</vt:i4>
      </vt:variant>
      <vt:variant>
        <vt:i4>284</vt:i4>
      </vt:variant>
      <vt:variant>
        <vt:i4>0</vt:i4>
      </vt:variant>
      <vt:variant>
        <vt:i4>5</vt:i4>
      </vt:variant>
      <vt:variant>
        <vt:lpwstr/>
      </vt:variant>
      <vt:variant>
        <vt:lpwstr>_Toc17120456</vt:lpwstr>
      </vt:variant>
      <vt:variant>
        <vt:i4>1245237</vt:i4>
      </vt:variant>
      <vt:variant>
        <vt:i4>278</vt:i4>
      </vt:variant>
      <vt:variant>
        <vt:i4>0</vt:i4>
      </vt:variant>
      <vt:variant>
        <vt:i4>5</vt:i4>
      </vt:variant>
      <vt:variant>
        <vt:lpwstr/>
      </vt:variant>
      <vt:variant>
        <vt:lpwstr>_Toc17120455</vt:lpwstr>
      </vt:variant>
      <vt:variant>
        <vt:i4>1179701</vt:i4>
      </vt:variant>
      <vt:variant>
        <vt:i4>272</vt:i4>
      </vt:variant>
      <vt:variant>
        <vt:i4>0</vt:i4>
      </vt:variant>
      <vt:variant>
        <vt:i4>5</vt:i4>
      </vt:variant>
      <vt:variant>
        <vt:lpwstr/>
      </vt:variant>
      <vt:variant>
        <vt:lpwstr>_Toc17120454</vt:lpwstr>
      </vt:variant>
      <vt:variant>
        <vt:i4>1376309</vt:i4>
      </vt:variant>
      <vt:variant>
        <vt:i4>266</vt:i4>
      </vt:variant>
      <vt:variant>
        <vt:i4>0</vt:i4>
      </vt:variant>
      <vt:variant>
        <vt:i4>5</vt:i4>
      </vt:variant>
      <vt:variant>
        <vt:lpwstr/>
      </vt:variant>
      <vt:variant>
        <vt:lpwstr>_Toc17120453</vt:lpwstr>
      </vt:variant>
      <vt:variant>
        <vt:i4>1310773</vt:i4>
      </vt:variant>
      <vt:variant>
        <vt:i4>260</vt:i4>
      </vt:variant>
      <vt:variant>
        <vt:i4>0</vt:i4>
      </vt:variant>
      <vt:variant>
        <vt:i4>5</vt:i4>
      </vt:variant>
      <vt:variant>
        <vt:lpwstr/>
      </vt:variant>
      <vt:variant>
        <vt:lpwstr>_Toc17120452</vt:lpwstr>
      </vt:variant>
      <vt:variant>
        <vt:i4>1507381</vt:i4>
      </vt:variant>
      <vt:variant>
        <vt:i4>254</vt:i4>
      </vt:variant>
      <vt:variant>
        <vt:i4>0</vt:i4>
      </vt:variant>
      <vt:variant>
        <vt:i4>5</vt:i4>
      </vt:variant>
      <vt:variant>
        <vt:lpwstr/>
      </vt:variant>
      <vt:variant>
        <vt:lpwstr>_Toc17120451</vt:lpwstr>
      </vt:variant>
      <vt:variant>
        <vt:i4>1441845</vt:i4>
      </vt:variant>
      <vt:variant>
        <vt:i4>248</vt:i4>
      </vt:variant>
      <vt:variant>
        <vt:i4>0</vt:i4>
      </vt:variant>
      <vt:variant>
        <vt:i4>5</vt:i4>
      </vt:variant>
      <vt:variant>
        <vt:lpwstr/>
      </vt:variant>
      <vt:variant>
        <vt:lpwstr>_Toc17120450</vt:lpwstr>
      </vt:variant>
      <vt:variant>
        <vt:i4>2031668</vt:i4>
      </vt:variant>
      <vt:variant>
        <vt:i4>242</vt:i4>
      </vt:variant>
      <vt:variant>
        <vt:i4>0</vt:i4>
      </vt:variant>
      <vt:variant>
        <vt:i4>5</vt:i4>
      </vt:variant>
      <vt:variant>
        <vt:lpwstr/>
      </vt:variant>
      <vt:variant>
        <vt:lpwstr>_Toc17120449</vt:lpwstr>
      </vt:variant>
      <vt:variant>
        <vt:i4>1966132</vt:i4>
      </vt:variant>
      <vt:variant>
        <vt:i4>236</vt:i4>
      </vt:variant>
      <vt:variant>
        <vt:i4>0</vt:i4>
      </vt:variant>
      <vt:variant>
        <vt:i4>5</vt:i4>
      </vt:variant>
      <vt:variant>
        <vt:lpwstr/>
      </vt:variant>
      <vt:variant>
        <vt:lpwstr>_Toc17120448</vt:lpwstr>
      </vt:variant>
      <vt:variant>
        <vt:i4>1114164</vt:i4>
      </vt:variant>
      <vt:variant>
        <vt:i4>230</vt:i4>
      </vt:variant>
      <vt:variant>
        <vt:i4>0</vt:i4>
      </vt:variant>
      <vt:variant>
        <vt:i4>5</vt:i4>
      </vt:variant>
      <vt:variant>
        <vt:lpwstr/>
      </vt:variant>
      <vt:variant>
        <vt:lpwstr>_Toc17120447</vt:lpwstr>
      </vt:variant>
      <vt:variant>
        <vt:i4>1048628</vt:i4>
      </vt:variant>
      <vt:variant>
        <vt:i4>224</vt:i4>
      </vt:variant>
      <vt:variant>
        <vt:i4>0</vt:i4>
      </vt:variant>
      <vt:variant>
        <vt:i4>5</vt:i4>
      </vt:variant>
      <vt:variant>
        <vt:lpwstr/>
      </vt:variant>
      <vt:variant>
        <vt:lpwstr>_Toc17120446</vt:lpwstr>
      </vt:variant>
      <vt:variant>
        <vt:i4>1245236</vt:i4>
      </vt:variant>
      <vt:variant>
        <vt:i4>218</vt:i4>
      </vt:variant>
      <vt:variant>
        <vt:i4>0</vt:i4>
      </vt:variant>
      <vt:variant>
        <vt:i4>5</vt:i4>
      </vt:variant>
      <vt:variant>
        <vt:lpwstr/>
      </vt:variant>
      <vt:variant>
        <vt:lpwstr>_Toc17120445</vt:lpwstr>
      </vt:variant>
      <vt:variant>
        <vt:i4>1179700</vt:i4>
      </vt:variant>
      <vt:variant>
        <vt:i4>212</vt:i4>
      </vt:variant>
      <vt:variant>
        <vt:i4>0</vt:i4>
      </vt:variant>
      <vt:variant>
        <vt:i4>5</vt:i4>
      </vt:variant>
      <vt:variant>
        <vt:lpwstr/>
      </vt:variant>
      <vt:variant>
        <vt:lpwstr>_Toc17120444</vt:lpwstr>
      </vt:variant>
      <vt:variant>
        <vt:i4>1376308</vt:i4>
      </vt:variant>
      <vt:variant>
        <vt:i4>206</vt:i4>
      </vt:variant>
      <vt:variant>
        <vt:i4>0</vt:i4>
      </vt:variant>
      <vt:variant>
        <vt:i4>5</vt:i4>
      </vt:variant>
      <vt:variant>
        <vt:lpwstr/>
      </vt:variant>
      <vt:variant>
        <vt:lpwstr>_Toc17120443</vt:lpwstr>
      </vt:variant>
      <vt:variant>
        <vt:i4>1310772</vt:i4>
      </vt:variant>
      <vt:variant>
        <vt:i4>200</vt:i4>
      </vt:variant>
      <vt:variant>
        <vt:i4>0</vt:i4>
      </vt:variant>
      <vt:variant>
        <vt:i4>5</vt:i4>
      </vt:variant>
      <vt:variant>
        <vt:lpwstr/>
      </vt:variant>
      <vt:variant>
        <vt:lpwstr>_Toc17120442</vt:lpwstr>
      </vt:variant>
      <vt:variant>
        <vt:i4>1507380</vt:i4>
      </vt:variant>
      <vt:variant>
        <vt:i4>194</vt:i4>
      </vt:variant>
      <vt:variant>
        <vt:i4>0</vt:i4>
      </vt:variant>
      <vt:variant>
        <vt:i4>5</vt:i4>
      </vt:variant>
      <vt:variant>
        <vt:lpwstr/>
      </vt:variant>
      <vt:variant>
        <vt:lpwstr>_Toc17120441</vt:lpwstr>
      </vt:variant>
      <vt:variant>
        <vt:i4>1441844</vt:i4>
      </vt:variant>
      <vt:variant>
        <vt:i4>188</vt:i4>
      </vt:variant>
      <vt:variant>
        <vt:i4>0</vt:i4>
      </vt:variant>
      <vt:variant>
        <vt:i4>5</vt:i4>
      </vt:variant>
      <vt:variant>
        <vt:lpwstr/>
      </vt:variant>
      <vt:variant>
        <vt:lpwstr>_Toc17120440</vt:lpwstr>
      </vt:variant>
      <vt:variant>
        <vt:i4>2031667</vt:i4>
      </vt:variant>
      <vt:variant>
        <vt:i4>182</vt:i4>
      </vt:variant>
      <vt:variant>
        <vt:i4>0</vt:i4>
      </vt:variant>
      <vt:variant>
        <vt:i4>5</vt:i4>
      </vt:variant>
      <vt:variant>
        <vt:lpwstr/>
      </vt:variant>
      <vt:variant>
        <vt:lpwstr>_Toc17120439</vt:lpwstr>
      </vt:variant>
      <vt:variant>
        <vt:i4>1966131</vt:i4>
      </vt:variant>
      <vt:variant>
        <vt:i4>176</vt:i4>
      </vt:variant>
      <vt:variant>
        <vt:i4>0</vt:i4>
      </vt:variant>
      <vt:variant>
        <vt:i4>5</vt:i4>
      </vt:variant>
      <vt:variant>
        <vt:lpwstr/>
      </vt:variant>
      <vt:variant>
        <vt:lpwstr>_Toc17120438</vt:lpwstr>
      </vt:variant>
      <vt:variant>
        <vt:i4>1114163</vt:i4>
      </vt:variant>
      <vt:variant>
        <vt:i4>170</vt:i4>
      </vt:variant>
      <vt:variant>
        <vt:i4>0</vt:i4>
      </vt:variant>
      <vt:variant>
        <vt:i4>5</vt:i4>
      </vt:variant>
      <vt:variant>
        <vt:lpwstr/>
      </vt:variant>
      <vt:variant>
        <vt:lpwstr>_Toc17120437</vt:lpwstr>
      </vt:variant>
      <vt:variant>
        <vt:i4>1048627</vt:i4>
      </vt:variant>
      <vt:variant>
        <vt:i4>164</vt:i4>
      </vt:variant>
      <vt:variant>
        <vt:i4>0</vt:i4>
      </vt:variant>
      <vt:variant>
        <vt:i4>5</vt:i4>
      </vt:variant>
      <vt:variant>
        <vt:lpwstr/>
      </vt:variant>
      <vt:variant>
        <vt:lpwstr>_Toc17120436</vt:lpwstr>
      </vt:variant>
      <vt:variant>
        <vt:i4>1245235</vt:i4>
      </vt:variant>
      <vt:variant>
        <vt:i4>158</vt:i4>
      </vt:variant>
      <vt:variant>
        <vt:i4>0</vt:i4>
      </vt:variant>
      <vt:variant>
        <vt:i4>5</vt:i4>
      </vt:variant>
      <vt:variant>
        <vt:lpwstr/>
      </vt:variant>
      <vt:variant>
        <vt:lpwstr>_Toc17120435</vt:lpwstr>
      </vt:variant>
      <vt:variant>
        <vt:i4>1179699</vt:i4>
      </vt:variant>
      <vt:variant>
        <vt:i4>152</vt:i4>
      </vt:variant>
      <vt:variant>
        <vt:i4>0</vt:i4>
      </vt:variant>
      <vt:variant>
        <vt:i4>5</vt:i4>
      </vt:variant>
      <vt:variant>
        <vt:lpwstr/>
      </vt:variant>
      <vt:variant>
        <vt:lpwstr>_Toc17120434</vt:lpwstr>
      </vt:variant>
      <vt:variant>
        <vt:i4>1376307</vt:i4>
      </vt:variant>
      <vt:variant>
        <vt:i4>146</vt:i4>
      </vt:variant>
      <vt:variant>
        <vt:i4>0</vt:i4>
      </vt:variant>
      <vt:variant>
        <vt:i4>5</vt:i4>
      </vt:variant>
      <vt:variant>
        <vt:lpwstr/>
      </vt:variant>
      <vt:variant>
        <vt:lpwstr>_Toc17120433</vt:lpwstr>
      </vt:variant>
      <vt:variant>
        <vt:i4>1310771</vt:i4>
      </vt:variant>
      <vt:variant>
        <vt:i4>140</vt:i4>
      </vt:variant>
      <vt:variant>
        <vt:i4>0</vt:i4>
      </vt:variant>
      <vt:variant>
        <vt:i4>5</vt:i4>
      </vt:variant>
      <vt:variant>
        <vt:lpwstr/>
      </vt:variant>
      <vt:variant>
        <vt:lpwstr>_Toc17120432</vt:lpwstr>
      </vt:variant>
      <vt:variant>
        <vt:i4>1507379</vt:i4>
      </vt:variant>
      <vt:variant>
        <vt:i4>134</vt:i4>
      </vt:variant>
      <vt:variant>
        <vt:i4>0</vt:i4>
      </vt:variant>
      <vt:variant>
        <vt:i4>5</vt:i4>
      </vt:variant>
      <vt:variant>
        <vt:lpwstr/>
      </vt:variant>
      <vt:variant>
        <vt:lpwstr>_Toc17120431</vt:lpwstr>
      </vt:variant>
      <vt:variant>
        <vt:i4>1441843</vt:i4>
      </vt:variant>
      <vt:variant>
        <vt:i4>128</vt:i4>
      </vt:variant>
      <vt:variant>
        <vt:i4>0</vt:i4>
      </vt:variant>
      <vt:variant>
        <vt:i4>5</vt:i4>
      </vt:variant>
      <vt:variant>
        <vt:lpwstr/>
      </vt:variant>
      <vt:variant>
        <vt:lpwstr>_Toc17120430</vt:lpwstr>
      </vt:variant>
      <vt:variant>
        <vt:i4>2031666</vt:i4>
      </vt:variant>
      <vt:variant>
        <vt:i4>122</vt:i4>
      </vt:variant>
      <vt:variant>
        <vt:i4>0</vt:i4>
      </vt:variant>
      <vt:variant>
        <vt:i4>5</vt:i4>
      </vt:variant>
      <vt:variant>
        <vt:lpwstr/>
      </vt:variant>
      <vt:variant>
        <vt:lpwstr>_Toc17120429</vt:lpwstr>
      </vt:variant>
      <vt:variant>
        <vt:i4>1966130</vt:i4>
      </vt:variant>
      <vt:variant>
        <vt:i4>116</vt:i4>
      </vt:variant>
      <vt:variant>
        <vt:i4>0</vt:i4>
      </vt:variant>
      <vt:variant>
        <vt:i4>5</vt:i4>
      </vt:variant>
      <vt:variant>
        <vt:lpwstr/>
      </vt:variant>
      <vt:variant>
        <vt:lpwstr>_Toc17120428</vt:lpwstr>
      </vt:variant>
      <vt:variant>
        <vt:i4>1114162</vt:i4>
      </vt:variant>
      <vt:variant>
        <vt:i4>110</vt:i4>
      </vt:variant>
      <vt:variant>
        <vt:i4>0</vt:i4>
      </vt:variant>
      <vt:variant>
        <vt:i4>5</vt:i4>
      </vt:variant>
      <vt:variant>
        <vt:lpwstr/>
      </vt:variant>
      <vt:variant>
        <vt:lpwstr>_Toc17120427</vt:lpwstr>
      </vt:variant>
      <vt:variant>
        <vt:i4>1048626</vt:i4>
      </vt:variant>
      <vt:variant>
        <vt:i4>104</vt:i4>
      </vt:variant>
      <vt:variant>
        <vt:i4>0</vt:i4>
      </vt:variant>
      <vt:variant>
        <vt:i4>5</vt:i4>
      </vt:variant>
      <vt:variant>
        <vt:lpwstr/>
      </vt:variant>
      <vt:variant>
        <vt:lpwstr>_Toc17120426</vt:lpwstr>
      </vt:variant>
      <vt:variant>
        <vt:i4>1245234</vt:i4>
      </vt:variant>
      <vt:variant>
        <vt:i4>98</vt:i4>
      </vt:variant>
      <vt:variant>
        <vt:i4>0</vt:i4>
      </vt:variant>
      <vt:variant>
        <vt:i4>5</vt:i4>
      </vt:variant>
      <vt:variant>
        <vt:lpwstr/>
      </vt:variant>
      <vt:variant>
        <vt:lpwstr>_Toc17120425</vt:lpwstr>
      </vt:variant>
      <vt:variant>
        <vt:i4>1179698</vt:i4>
      </vt:variant>
      <vt:variant>
        <vt:i4>92</vt:i4>
      </vt:variant>
      <vt:variant>
        <vt:i4>0</vt:i4>
      </vt:variant>
      <vt:variant>
        <vt:i4>5</vt:i4>
      </vt:variant>
      <vt:variant>
        <vt:lpwstr/>
      </vt:variant>
      <vt:variant>
        <vt:lpwstr>_Toc17120424</vt:lpwstr>
      </vt:variant>
      <vt:variant>
        <vt:i4>1376306</vt:i4>
      </vt:variant>
      <vt:variant>
        <vt:i4>86</vt:i4>
      </vt:variant>
      <vt:variant>
        <vt:i4>0</vt:i4>
      </vt:variant>
      <vt:variant>
        <vt:i4>5</vt:i4>
      </vt:variant>
      <vt:variant>
        <vt:lpwstr/>
      </vt:variant>
      <vt:variant>
        <vt:lpwstr>_Toc17120423</vt:lpwstr>
      </vt:variant>
      <vt:variant>
        <vt:i4>1310770</vt:i4>
      </vt:variant>
      <vt:variant>
        <vt:i4>80</vt:i4>
      </vt:variant>
      <vt:variant>
        <vt:i4>0</vt:i4>
      </vt:variant>
      <vt:variant>
        <vt:i4>5</vt:i4>
      </vt:variant>
      <vt:variant>
        <vt:lpwstr/>
      </vt:variant>
      <vt:variant>
        <vt:lpwstr>_Toc17120422</vt:lpwstr>
      </vt:variant>
      <vt:variant>
        <vt:i4>1507378</vt:i4>
      </vt:variant>
      <vt:variant>
        <vt:i4>74</vt:i4>
      </vt:variant>
      <vt:variant>
        <vt:i4>0</vt:i4>
      </vt:variant>
      <vt:variant>
        <vt:i4>5</vt:i4>
      </vt:variant>
      <vt:variant>
        <vt:lpwstr/>
      </vt:variant>
      <vt:variant>
        <vt:lpwstr>_Toc17120421</vt:lpwstr>
      </vt:variant>
      <vt:variant>
        <vt:i4>1441842</vt:i4>
      </vt:variant>
      <vt:variant>
        <vt:i4>68</vt:i4>
      </vt:variant>
      <vt:variant>
        <vt:i4>0</vt:i4>
      </vt:variant>
      <vt:variant>
        <vt:i4>5</vt:i4>
      </vt:variant>
      <vt:variant>
        <vt:lpwstr/>
      </vt:variant>
      <vt:variant>
        <vt:lpwstr>_Toc17120420</vt:lpwstr>
      </vt:variant>
      <vt:variant>
        <vt:i4>2031665</vt:i4>
      </vt:variant>
      <vt:variant>
        <vt:i4>62</vt:i4>
      </vt:variant>
      <vt:variant>
        <vt:i4>0</vt:i4>
      </vt:variant>
      <vt:variant>
        <vt:i4>5</vt:i4>
      </vt:variant>
      <vt:variant>
        <vt:lpwstr/>
      </vt:variant>
      <vt:variant>
        <vt:lpwstr>_Toc17120419</vt:lpwstr>
      </vt:variant>
      <vt:variant>
        <vt:i4>1966129</vt:i4>
      </vt:variant>
      <vt:variant>
        <vt:i4>56</vt:i4>
      </vt:variant>
      <vt:variant>
        <vt:i4>0</vt:i4>
      </vt:variant>
      <vt:variant>
        <vt:i4>5</vt:i4>
      </vt:variant>
      <vt:variant>
        <vt:lpwstr/>
      </vt:variant>
      <vt:variant>
        <vt:lpwstr>_Toc17120418</vt:lpwstr>
      </vt:variant>
      <vt:variant>
        <vt:i4>1114161</vt:i4>
      </vt:variant>
      <vt:variant>
        <vt:i4>50</vt:i4>
      </vt:variant>
      <vt:variant>
        <vt:i4>0</vt:i4>
      </vt:variant>
      <vt:variant>
        <vt:i4>5</vt:i4>
      </vt:variant>
      <vt:variant>
        <vt:lpwstr/>
      </vt:variant>
      <vt:variant>
        <vt:lpwstr>_Toc17120417</vt:lpwstr>
      </vt:variant>
      <vt:variant>
        <vt:i4>1048625</vt:i4>
      </vt:variant>
      <vt:variant>
        <vt:i4>44</vt:i4>
      </vt:variant>
      <vt:variant>
        <vt:i4>0</vt:i4>
      </vt:variant>
      <vt:variant>
        <vt:i4>5</vt:i4>
      </vt:variant>
      <vt:variant>
        <vt:lpwstr/>
      </vt:variant>
      <vt:variant>
        <vt:lpwstr>_Toc17120416</vt:lpwstr>
      </vt:variant>
      <vt:variant>
        <vt:i4>1245233</vt:i4>
      </vt:variant>
      <vt:variant>
        <vt:i4>38</vt:i4>
      </vt:variant>
      <vt:variant>
        <vt:i4>0</vt:i4>
      </vt:variant>
      <vt:variant>
        <vt:i4>5</vt:i4>
      </vt:variant>
      <vt:variant>
        <vt:lpwstr/>
      </vt:variant>
      <vt:variant>
        <vt:lpwstr>_Toc17120415</vt:lpwstr>
      </vt:variant>
      <vt:variant>
        <vt:i4>1179697</vt:i4>
      </vt:variant>
      <vt:variant>
        <vt:i4>32</vt:i4>
      </vt:variant>
      <vt:variant>
        <vt:i4>0</vt:i4>
      </vt:variant>
      <vt:variant>
        <vt:i4>5</vt:i4>
      </vt:variant>
      <vt:variant>
        <vt:lpwstr/>
      </vt:variant>
      <vt:variant>
        <vt:lpwstr>_Toc17120414</vt:lpwstr>
      </vt:variant>
      <vt:variant>
        <vt:i4>1376305</vt:i4>
      </vt:variant>
      <vt:variant>
        <vt:i4>26</vt:i4>
      </vt:variant>
      <vt:variant>
        <vt:i4>0</vt:i4>
      </vt:variant>
      <vt:variant>
        <vt:i4>5</vt:i4>
      </vt:variant>
      <vt:variant>
        <vt:lpwstr/>
      </vt:variant>
      <vt:variant>
        <vt:lpwstr>_Toc17120413</vt:lpwstr>
      </vt:variant>
      <vt:variant>
        <vt:i4>1310769</vt:i4>
      </vt:variant>
      <vt:variant>
        <vt:i4>20</vt:i4>
      </vt:variant>
      <vt:variant>
        <vt:i4>0</vt:i4>
      </vt:variant>
      <vt:variant>
        <vt:i4>5</vt:i4>
      </vt:variant>
      <vt:variant>
        <vt:lpwstr/>
      </vt:variant>
      <vt:variant>
        <vt:lpwstr>_Toc17120412</vt:lpwstr>
      </vt:variant>
      <vt:variant>
        <vt:i4>1507377</vt:i4>
      </vt:variant>
      <vt:variant>
        <vt:i4>14</vt:i4>
      </vt:variant>
      <vt:variant>
        <vt:i4>0</vt:i4>
      </vt:variant>
      <vt:variant>
        <vt:i4>5</vt:i4>
      </vt:variant>
      <vt:variant>
        <vt:lpwstr/>
      </vt:variant>
      <vt:variant>
        <vt:lpwstr>_Toc17120411</vt:lpwstr>
      </vt:variant>
      <vt:variant>
        <vt:i4>1441841</vt:i4>
      </vt:variant>
      <vt:variant>
        <vt:i4>8</vt:i4>
      </vt:variant>
      <vt:variant>
        <vt:i4>0</vt:i4>
      </vt:variant>
      <vt:variant>
        <vt:i4>5</vt:i4>
      </vt:variant>
      <vt:variant>
        <vt:lpwstr/>
      </vt:variant>
      <vt:variant>
        <vt:lpwstr>_Toc17120410</vt:lpwstr>
      </vt:variant>
      <vt:variant>
        <vt:i4>2031664</vt:i4>
      </vt:variant>
      <vt:variant>
        <vt:i4>2</vt:i4>
      </vt:variant>
      <vt:variant>
        <vt:i4>0</vt:i4>
      </vt:variant>
      <vt:variant>
        <vt:i4>5</vt:i4>
      </vt:variant>
      <vt:variant>
        <vt:lpwstr/>
      </vt:variant>
      <vt:variant>
        <vt:lpwstr>_Toc17120409</vt:lpwstr>
      </vt:variant>
      <vt:variant>
        <vt:i4>3932215</vt:i4>
      </vt:variant>
      <vt:variant>
        <vt:i4>96</vt:i4>
      </vt:variant>
      <vt:variant>
        <vt:i4>0</vt:i4>
      </vt:variant>
      <vt:variant>
        <vt:i4>5</vt:i4>
      </vt:variant>
      <vt:variant>
        <vt:lpwstr>https://www.childrenscourt.vic.gov.au/about-us/history</vt:lpwstr>
      </vt:variant>
      <vt:variant>
        <vt:lpwstr/>
      </vt:variant>
      <vt:variant>
        <vt:i4>3080316</vt:i4>
      </vt:variant>
      <vt:variant>
        <vt:i4>72</vt:i4>
      </vt:variant>
      <vt:variant>
        <vt:i4>0</vt:i4>
      </vt:variant>
      <vt:variant>
        <vt:i4>5</vt:i4>
      </vt:variant>
      <vt:variant>
        <vt:lpwstr>https://www.smh.com.au/national/nsw/court-verdicts-more-found-innocent-if-no-jury-involved-20131122-2y17l.html</vt:lpwstr>
      </vt:variant>
      <vt:variant>
        <vt:lpwstr/>
      </vt:variant>
      <vt:variant>
        <vt:i4>3080316</vt:i4>
      </vt:variant>
      <vt:variant>
        <vt:i4>69</vt:i4>
      </vt:variant>
      <vt:variant>
        <vt:i4>0</vt:i4>
      </vt:variant>
      <vt:variant>
        <vt:i4>5</vt:i4>
      </vt:variant>
      <vt:variant>
        <vt:lpwstr>https://www.smh.com.au/national/nsw/court-verdicts-more-found-innocent-if-no-jury-involved-20131122-2y17l.html</vt:lpwstr>
      </vt:variant>
      <vt:variant>
        <vt:lpwstr/>
      </vt:variant>
      <vt:variant>
        <vt:i4>1704026</vt:i4>
      </vt:variant>
      <vt:variant>
        <vt:i4>0</vt:i4>
      </vt:variant>
      <vt:variant>
        <vt:i4>0</vt:i4>
      </vt:variant>
      <vt:variant>
        <vt:i4>5</vt:i4>
      </vt:variant>
      <vt:variant>
        <vt:lpwstr>https://www.legalaid.vic.gov.au/information-for-lawyers/doing-legal-aid-work/delivering-high-quality-criminal-trials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Victorian Law Reform Commission on the Review of Committals</dc:title>
  <dc:subject/>
  <dc:creator>Victoria Legal Aid</dc:creator>
  <cp:keywords/>
  <dc:description/>
  <cp:lastModifiedBy/>
  <cp:revision>1</cp:revision>
  <dcterms:created xsi:type="dcterms:W3CDTF">2021-04-30T00:08:00Z</dcterms:created>
  <dcterms:modified xsi:type="dcterms:W3CDTF">2021-04-30T00:08:00Z</dcterms:modified>
  <cp:contentStatus/>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0x0101003E20A8E6860AAA419CC69C0CC668BD69</vt:lpwstr>
  </op:property>
  <op:property fmtid="{D5CDD505-2E9C-101B-9397-08002B2CF9AE}" pid="4" name="_MarkAsFinal">
    <vt:bool>true</vt:bool>
  </op:property>
</op:Properties>
</file>